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CA" w:rsidRPr="009858E3" w:rsidRDefault="00167DCA" w:rsidP="00167DCA">
      <w:pPr>
        <w:pBdr>
          <w:bottom w:val="single" w:sz="4" w:space="1" w:color="auto"/>
        </w:pBdr>
        <w:tabs>
          <w:tab w:val="right" w:pos="9072"/>
        </w:tabs>
        <w:jc w:val="both"/>
        <w:rPr>
          <w:rFonts w:ascii="Gill Sans MT" w:hAnsi="Gill Sans MT" w:cs="Arial"/>
          <w:sz w:val="32"/>
          <w:szCs w:val="32"/>
        </w:rPr>
      </w:pPr>
      <w:r>
        <w:rPr>
          <w:rFonts w:ascii="Gill Sans MT" w:hAnsi="Gill Sans MT" w:cs="Arial"/>
          <w:sz w:val="32"/>
          <w:szCs w:val="32"/>
        </w:rPr>
        <w:t>Kultur- och fritidsnämnden</w:t>
      </w:r>
    </w:p>
    <w:p w:rsidR="00EA1334" w:rsidRDefault="00EA1334" w:rsidP="00EA1334">
      <w:pPr>
        <w:rPr>
          <w:sz w:val="22"/>
          <w:szCs w:val="22"/>
        </w:rPr>
      </w:pPr>
    </w:p>
    <w:p w:rsidR="00EA1334" w:rsidRDefault="00EA1334" w:rsidP="00EA1334">
      <w:pPr>
        <w:pStyle w:val="Rubrik1"/>
        <w:rPr>
          <w:rFonts w:ascii="Gill Sans MT" w:hAnsi="Gill Sans MT"/>
          <w:sz w:val="32"/>
          <w:szCs w:val="32"/>
        </w:rPr>
      </w:pPr>
      <w:r>
        <w:rPr>
          <w:rFonts w:ascii="Gill Sans MT" w:hAnsi="Gill Sans MT"/>
          <w:sz w:val="32"/>
          <w:szCs w:val="32"/>
        </w:rPr>
        <w:t>Kommunövergripande</w:t>
      </w:r>
    </w:p>
    <w:p w:rsidR="00EA1334" w:rsidRPr="00EA1334" w:rsidRDefault="00EA1334" w:rsidP="00EA1334">
      <w:pPr>
        <w:rPr>
          <w:sz w:val="22"/>
          <w:szCs w:val="22"/>
        </w:rPr>
      </w:pPr>
      <w:r w:rsidRPr="00EA1334">
        <w:rPr>
          <w:sz w:val="22"/>
          <w:szCs w:val="22"/>
        </w:rPr>
        <w:t xml:space="preserve">Kommunledningskontoret gör bedömningen att det finns mycket stora möjligheter att uppnå målet med 43000 invånare till år 2020. De mest kritiska framgångsfaktorerna för möjligheterna att uppnå detta, är att det byggs cirka 1600 bostäder fram till år 2020, att kommunens näringsliv fortsätter att växa både genom nyetableringar </w:t>
      </w:r>
      <w:proofErr w:type="gramStart"/>
      <w:r w:rsidRPr="00EA1334">
        <w:rPr>
          <w:sz w:val="22"/>
          <w:szCs w:val="22"/>
        </w:rPr>
        <w:t>och</w:t>
      </w:r>
      <w:proofErr w:type="gramEnd"/>
      <w:r w:rsidRPr="00EA1334">
        <w:rPr>
          <w:sz w:val="22"/>
          <w:szCs w:val="22"/>
        </w:rPr>
        <w:t xml:space="preserve"> utveckling av befintliga företag, att kommunen lyckas i arbetet med att skapa attraktiva arbetsplatser och ett framgångsrikt arbete med att skapa ett samhälle där alla är inkluderade och delaktiga i utvecklingen av Piteå. Detta tillväxtarbete kommer att innebära hård belastning på kommunens investeringsbudget och kräva prioriteringar i fördelningen av driftbudgetmedel. En viktig förutsättning är att respektive nämnd/styrelse tar stort ansvar för att bedriva verksamheten inom givna driftbudgetramar. Det är Kommunledningskontorets uppfattning att prioriteringar bör ske i enlighet med ovanstående satsningsområden.</w:t>
      </w:r>
    </w:p>
    <w:p w:rsidR="008361BE" w:rsidRDefault="008361BE" w:rsidP="00EA1334">
      <w:pPr>
        <w:rPr>
          <w:sz w:val="22"/>
          <w:szCs w:val="22"/>
        </w:rPr>
      </w:pPr>
    </w:p>
    <w:p w:rsidR="00EA1334" w:rsidRPr="00EA1334" w:rsidRDefault="00EA1334" w:rsidP="00EA1334">
      <w:pPr>
        <w:rPr>
          <w:sz w:val="22"/>
          <w:szCs w:val="22"/>
        </w:rPr>
      </w:pPr>
      <w:r w:rsidRPr="00EA1334">
        <w:rPr>
          <w:sz w:val="22"/>
          <w:szCs w:val="22"/>
        </w:rPr>
        <w:t xml:space="preserve">Kultur och fritidsnämnden beslutar att ställa sig bakom Kommunledningskontorets skrivning om vilka prioriteringar som krävs för att målet om att Piteå ska vara minst 43000 invånare år 2020 ska uppnås. </w:t>
      </w:r>
    </w:p>
    <w:p w:rsidR="00EA1334" w:rsidRDefault="00EA1334" w:rsidP="00EA1334">
      <w:pPr>
        <w:rPr>
          <w:sz w:val="22"/>
          <w:szCs w:val="22"/>
        </w:rPr>
      </w:pPr>
    </w:p>
    <w:p w:rsidR="00EA1334" w:rsidRDefault="00EA1334" w:rsidP="00EA1334">
      <w:pPr>
        <w:pStyle w:val="Rubrik1"/>
        <w:rPr>
          <w:rFonts w:ascii="Gill Sans MT" w:hAnsi="Gill Sans MT"/>
          <w:sz w:val="32"/>
          <w:szCs w:val="32"/>
        </w:rPr>
      </w:pPr>
      <w:r>
        <w:rPr>
          <w:rFonts w:ascii="Gill Sans MT" w:hAnsi="Gill Sans MT"/>
          <w:sz w:val="32"/>
          <w:szCs w:val="32"/>
        </w:rPr>
        <w:t xml:space="preserve">Nämndens verksamhetsplan och budgetförslag </w:t>
      </w:r>
    </w:p>
    <w:p w:rsidR="00161C00" w:rsidRPr="00EA1334" w:rsidRDefault="00161C00" w:rsidP="00161C00">
      <w:pPr>
        <w:rPr>
          <w:sz w:val="22"/>
          <w:szCs w:val="22"/>
        </w:rPr>
      </w:pPr>
    </w:p>
    <w:p w:rsidR="00161C00" w:rsidRDefault="00161C00" w:rsidP="00161C00">
      <w:pPr>
        <w:pStyle w:val="Rubrik2"/>
        <w:numPr>
          <w:ilvl w:val="0"/>
          <w:numId w:val="1"/>
        </w:numPr>
        <w:ind w:left="284" w:hanging="284"/>
        <w:rPr>
          <w:rFonts w:ascii="Gill Sans MT" w:hAnsi="Gill Sans MT"/>
          <w:sz w:val="28"/>
          <w:szCs w:val="28"/>
          <w:u w:val="none"/>
        </w:rPr>
      </w:pPr>
      <w:r>
        <w:rPr>
          <w:rFonts w:ascii="Gill Sans MT" w:hAnsi="Gill Sans MT"/>
          <w:sz w:val="28"/>
          <w:szCs w:val="28"/>
          <w:u w:val="none"/>
        </w:rPr>
        <w:t>Nuläge</w:t>
      </w:r>
    </w:p>
    <w:p w:rsidR="00831C85" w:rsidRDefault="00D06814" w:rsidP="003E2D58">
      <w:pPr>
        <w:pStyle w:val="Default"/>
        <w:rPr>
          <w:sz w:val="22"/>
          <w:szCs w:val="22"/>
          <w:lang w:val="sv-SE"/>
        </w:rPr>
      </w:pPr>
      <w:r w:rsidRPr="00D06814">
        <w:rPr>
          <w:sz w:val="22"/>
          <w:szCs w:val="22"/>
          <w:lang w:val="sv-SE"/>
        </w:rPr>
        <w:t>Kultur</w:t>
      </w:r>
      <w:r w:rsidR="00EF7769">
        <w:rPr>
          <w:sz w:val="22"/>
          <w:szCs w:val="22"/>
          <w:lang w:val="sv-SE"/>
        </w:rPr>
        <w:t>, park</w:t>
      </w:r>
      <w:r w:rsidRPr="00D06814">
        <w:rPr>
          <w:sz w:val="22"/>
          <w:szCs w:val="22"/>
          <w:lang w:val="sv-SE"/>
        </w:rPr>
        <w:t xml:space="preserve"> och fritid är strategiskt viktigt för attraktivitet och tillväxt i kommunen</w:t>
      </w:r>
      <w:r w:rsidR="00462101">
        <w:rPr>
          <w:sz w:val="22"/>
          <w:szCs w:val="22"/>
          <w:lang w:val="sv-SE"/>
        </w:rPr>
        <w:t xml:space="preserve"> och</w:t>
      </w:r>
      <w:r>
        <w:rPr>
          <w:sz w:val="22"/>
          <w:szCs w:val="22"/>
          <w:lang w:val="sv-SE"/>
        </w:rPr>
        <w:t xml:space="preserve"> direkt koppla</w:t>
      </w:r>
      <w:r w:rsidR="00286A70">
        <w:rPr>
          <w:sz w:val="22"/>
          <w:szCs w:val="22"/>
          <w:lang w:val="sv-SE"/>
        </w:rPr>
        <w:t>t</w:t>
      </w:r>
      <w:r>
        <w:rPr>
          <w:sz w:val="22"/>
          <w:szCs w:val="22"/>
          <w:lang w:val="sv-SE"/>
        </w:rPr>
        <w:t xml:space="preserve"> mot målet </w:t>
      </w:r>
      <w:r w:rsidRPr="004208D2">
        <w:rPr>
          <w:b/>
          <w:sz w:val="22"/>
          <w:szCs w:val="22"/>
          <w:lang w:val="sv-SE"/>
        </w:rPr>
        <w:t>43 000 invånare</w:t>
      </w:r>
      <w:r>
        <w:rPr>
          <w:sz w:val="22"/>
          <w:szCs w:val="22"/>
          <w:lang w:val="sv-SE"/>
        </w:rPr>
        <w:t>.</w:t>
      </w:r>
      <w:r w:rsidRPr="00D06814">
        <w:rPr>
          <w:sz w:val="22"/>
          <w:szCs w:val="22"/>
          <w:lang w:val="sv-SE"/>
        </w:rPr>
        <w:t xml:space="preserve"> </w:t>
      </w:r>
      <w:r w:rsidR="00954E82">
        <w:rPr>
          <w:sz w:val="22"/>
          <w:szCs w:val="22"/>
          <w:lang w:val="sv-SE"/>
        </w:rPr>
        <w:t>F</w:t>
      </w:r>
      <w:r w:rsidRPr="00D06814">
        <w:rPr>
          <w:sz w:val="22"/>
          <w:szCs w:val="22"/>
          <w:lang w:val="sv-SE"/>
        </w:rPr>
        <w:t xml:space="preserve">ritiden </w:t>
      </w:r>
      <w:r w:rsidR="00954E82">
        <w:rPr>
          <w:sz w:val="22"/>
          <w:szCs w:val="22"/>
          <w:lang w:val="sv-SE"/>
        </w:rPr>
        <w:t xml:space="preserve">värdesätts </w:t>
      </w:r>
      <w:r w:rsidRPr="00D06814">
        <w:rPr>
          <w:sz w:val="22"/>
          <w:szCs w:val="22"/>
          <w:lang w:val="sv-SE"/>
        </w:rPr>
        <w:t xml:space="preserve">allt högre och många gånger kan den vara avgörande vid val av bostadsort. </w:t>
      </w:r>
      <w:r w:rsidR="000B499F">
        <w:rPr>
          <w:sz w:val="22"/>
          <w:szCs w:val="22"/>
          <w:lang w:val="sv-SE"/>
        </w:rPr>
        <w:t>Det är</w:t>
      </w:r>
      <w:r w:rsidRPr="00D06814">
        <w:rPr>
          <w:sz w:val="22"/>
          <w:szCs w:val="22"/>
          <w:lang w:val="sv-SE"/>
        </w:rPr>
        <w:t xml:space="preserve"> viktigt att erbjuda aktiviteter, anläggningar, kulturutbud och offentliga miljöer </w:t>
      </w:r>
      <w:r w:rsidR="006D1731">
        <w:rPr>
          <w:sz w:val="22"/>
          <w:szCs w:val="22"/>
          <w:lang w:val="sv-SE"/>
        </w:rPr>
        <w:t xml:space="preserve">riktat till alla </w:t>
      </w:r>
      <w:r w:rsidRPr="00D06814">
        <w:rPr>
          <w:sz w:val="22"/>
          <w:szCs w:val="22"/>
          <w:lang w:val="sv-SE"/>
        </w:rPr>
        <w:t>som svarar upp mot efterfrågan.</w:t>
      </w:r>
      <w:r w:rsidR="00EF7769">
        <w:rPr>
          <w:sz w:val="22"/>
          <w:szCs w:val="22"/>
          <w:lang w:val="sv-SE"/>
        </w:rPr>
        <w:t xml:space="preserve"> </w:t>
      </w:r>
      <w:r w:rsidR="00DF6624">
        <w:rPr>
          <w:sz w:val="22"/>
          <w:szCs w:val="22"/>
          <w:lang w:val="sv-SE"/>
        </w:rPr>
        <w:t xml:space="preserve">Den renoverade friidrottshallen med Boule och skytte blir en arena som erbjuder verksamhet för alla åldrar samt svarar upp mot friidrottens behov av en tävlingsarena. </w:t>
      </w:r>
      <w:r w:rsidR="00847A3C">
        <w:rPr>
          <w:sz w:val="22"/>
          <w:szCs w:val="22"/>
          <w:lang w:val="sv-SE"/>
        </w:rPr>
        <w:t>Investeringen innebär dock ökade driftskostn</w:t>
      </w:r>
      <w:r w:rsidR="00FF472F">
        <w:rPr>
          <w:sz w:val="22"/>
          <w:szCs w:val="22"/>
          <w:lang w:val="sv-SE"/>
        </w:rPr>
        <w:t>a</w:t>
      </w:r>
      <w:r w:rsidR="00847A3C">
        <w:rPr>
          <w:sz w:val="22"/>
          <w:szCs w:val="22"/>
          <w:lang w:val="sv-SE"/>
        </w:rPr>
        <w:t xml:space="preserve">der </w:t>
      </w:r>
      <w:r w:rsidR="00FF472F">
        <w:rPr>
          <w:sz w:val="22"/>
          <w:szCs w:val="22"/>
          <w:lang w:val="sv-SE"/>
        </w:rPr>
        <w:t xml:space="preserve">på grund av utökad verksamhetsyta och nya verksamheter </w:t>
      </w:r>
      <w:r w:rsidR="00847A3C">
        <w:rPr>
          <w:sz w:val="22"/>
          <w:szCs w:val="22"/>
          <w:lang w:val="sv-SE"/>
        </w:rPr>
        <w:t xml:space="preserve">som måste täckas med </w:t>
      </w:r>
      <w:r w:rsidR="00FF472F">
        <w:rPr>
          <w:sz w:val="22"/>
          <w:szCs w:val="22"/>
          <w:lang w:val="sv-SE"/>
        </w:rPr>
        <w:t>driftsmedel</w:t>
      </w:r>
      <w:r w:rsidR="002C7EC9">
        <w:rPr>
          <w:sz w:val="22"/>
          <w:szCs w:val="22"/>
          <w:lang w:val="sv-SE"/>
        </w:rPr>
        <w:t xml:space="preserve">. </w:t>
      </w:r>
    </w:p>
    <w:p w:rsidR="00831C85" w:rsidRDefault="00831C85" w:rsidP="003E2D58">
      <w:pPr>
        <w:pStyle w:val="Default"/>
        <w:rPr>
          <w:sz w:val="22"/>
          <w:szCs w:val="22"/>
          <w:lang w:val="sv-SE"/>
        </w:rPr>
      </w:pPr>
    </w:p>
    <w:p w:rsidR="003E2D58" w:rsidRPr="0002651D" w:rsidRDefault="00DF6624" w:rsidP="0002651D">
      <w:pPr>
        <w:pStyle w:val="Default"/>
        <w:rPr>
          <w:sz w:val="22"/>
          <w:szCs w:val="22"/>
          <w:lang w:val="sv-SE"/>
        </w:rPr>
      </w:pPr>
      <w:r>
        <w:rPr>
          <w:sz w:val="22"/>
          <w:szCs w:val="22"/>
          <w:lang w:val="sv-SE"/>
        </w:rPr>
        <w:t xml:space="preserve">Det påbörjade bygget av </w:t>
      </w:r>
      <w:r w:rsidR="003E2D58">
        <w:rPr>
          <w:sz w:val="22"/>
          <w:szCs w:val="22"/>
          <w:lang w:val="sv-SE"/>
        </w:rPr>
        <w:t>Allhuset</w:t>
      </w:r>
      <w:r>
        <w:rPr>
          <w:sz w:val="22"/>
          <w:szCs w:val="22"/>
          <w:lang w:val="sv-SE"/>
        </w:rPr>
        <w:t xml:space="preserve"> blir en </w:t>
      </w:r>
      <w:r w:rsidR="00410734">
        <w:rPr>
          <w:sz w:val="22"/>
          <w:szCs w:val="22"/>
          <w:lang w:val="sv-SE"/>
        </w:rPr>
        <w:t>kultur</w:t>
      </w:r>
      <w:r>
        <w:rPr>
          <w:sz w:val="22"/>
          <w:szCs w:val="22"/>
          <w:lang w:val="sv-SE"/>
        </w:rPr>
        <w:t xml:space="preserve">mötesplats </w:t>
      </w:r>
      <w:r w:rsidR="003E2D58">
        <w:rPr>
          <w:sz w:val="22"/>
          <w:szCs w:val="22"/>
          <w:lang w:val="sv-SE"/>
        </w:rPr>
        <w:t xml:space="preserve">där </w:t>
      </w:r>
      <w:r w:rsidR="003E2D58" w:rsidRPr="003E2D58">
        <w:rPr>
          <w:b/>
          <w:sz w:val="22"/>
          <w:szCs w:val="22"/>
          <w:lang w:val="sv-SE"/>
        </w:rPr>
        <w:t>mångfalden</w:t>
      </w:r>
      <w:r w:rsidR="003E2D58">
        <w:rPr>
          <w:sz w:val="22"/>
          <w:szCs w:val="22"/>
          <w:lang w:val="sv-SE"/>
        </w:rPr>
        <w:t xml:space="preserve"> ska stärkas. </w:t>
      </w:r>
      <w:r w:rsidR="0002651D" w:rsidRPr="0002651D">
        <w:rPr>
          <w:sz w:val="22"/>
          <w:szCs w:val="22"/>
          <w:lang w:val="sv-SE"/>
        </w:rPr>
        <w:t xml:space="preserve">Kultur är viktigt för Piteås utveckling och ett prioriterat område som ska bidra till att målet </w:t>
      </w:r>
      <w:r w:rsidR="0002651D" w:rsidRPr="0002651D">
        <w:rPr>
          <w:b/>
          <w:sz w:val="22"/>
          <w:szCs w:val="22"/>
          <w:lang w:val="sv-SE"/>
        </w:rPr>
        <w:t xml:space="preserve">43 000 invånare </w:t>
      </w:r>
      <w:r w:rsidR="0002651D" w:rsidRPr="0002651D">
        <w:rPr>
          <w:sz w:val="22"/>
          <w:szCs w:val="22"/>
          <w:lang w:val="sv-SE"/>
        </w:rPr>
        <w:t xml:space="preserve">nås. Utöver den interna kulturexpansionen i kommunen finns även möjligheter för Piteå att stärka sin roll som tydligt kulturprioriterad stad genom Umeå 2014, Kulturmötesplats i </w:t>
      </w:r>
      <w:r w:rsidR="00DC4D99">
        <w:rPr>
          <w:sz w:val="22"/>
          <w:szCs w:val="22"/>
          <w:lang w:val="sv-SE"/>
        </w:rPr>
        <w:t>c</w:t>
      </w:r>
      <w:r w:rsidR="0002651D" w:rsidRPr="0002651D">
        <w:rPr>
          <w:sz w:val="22"/>
          <w:szCs w:val="22"/>
          <w:lang w:val="sv-SE"/>
        </w:rPr>
        <w:t>entrum</w:t>
      </w:r>
      <w:r w:rsidR="00DC4D99">
        <w:rPr>
          <w:sz w:val="22"/>
          <w:szCs w:val="22"/>
          <w:lang w:val="sv-SE"/>
        </w:rPr>
        <w:t xml:space="preserve"> och k</w:t>
      </w:r>
      <w:r w:rsidR="0002651D" w:rsidRPr="0002651D">
        <w:rPr>
          <w:sz w:val="22"/>
          <w:szCs w:val="22"/>
          <w:lang w:val="sv-SE"/>
        </w:rPr>
        <w:t>ulturmiljonen</w:t>
      </w:r>
      <w:r w:rsidR="00DC4D99">
        <w:rPr>
          <w:sz w:val="22"/>
          <w:szCs w:val="22"/>
          <w:lang w:val="sv-SE"/>
        </w:rPr>
        <w:t>.</w:t>
      </w:r>
      <w:r w:rsidR="0002651D">
        <w:rPr>
          <w:sz w:val="22"/>
          <w:szCs w:val="22"/>
          <w:lang w:val="sv-SE"/>
        </w:rPr>
        <w:t xml:space="preserve"> </w:t>
      </w:r>
      <w:r w:rsidR="0002651D" w:rsidRPr="0002651D">
        <w:rPr>
          <w:sz w:val="22"/>
          <w:szCs w:val="22"/>
          <w:lang w:val="sv-SE"/>
        </w:rPr>
        <w:t xml:space="preserve">Det blir </w:t>
      </w:r>
      <w:r w:rsidR="00DC4D99">
        <w:rPr>
          <w:sz w:val="22"/>
          <w:szCs w:val="22"/>
          <w:lang w:val="sv-SE"/>
        </w:rPr>
        <w:t xml:space="preserve">även </w:t>
      </w:r>
      <w:r w:rsidR="0002651D" w:rsidRPr="0002651D">
        <w:rPr>
          <w:sz w:val="22"/>
          <w:szCs w:val="22"/>
          <w:lang w:val="sv-SE"/>
        </w:rPr>
        <w:t>viktig</w:t>
      </w:r>
      <w:r w:rsidR="00DC4D99">
        <w:rPr>
          <w:sz w:val="22"/>
          <w:szCs w:val="22"/>
          <w:lang w:val="sv-SE"/>
        </w:rPr>
        <w:t>t</w:t>
      </w:r>
      <w:r w:rsidR="0002651D" w:rsidRPr="0002651D">
        <w:rPr>
          <w:sz w:val="22"/>
          <w:szCs w:val="22"/>
          <w:lang w:val="sv-SE"/>
        </w:rPr>
        <w:t xml:space="preserve"> att anknyta till den utveckling som sker på Acusticum. Musik- och dansskolans roll kan utvecklas mot ett tredje och fjärde ben ex drama och bild för att få statusen av Kulturskola och dessutom finns möjlighet att projektera en sådan utveckling med huvudsyfte att skapa Europas modernaste kulturskola. Även det i linje med </w:t>
      </w:r>
      <w:proofErr w:type="spellStart"/>
      <w:r w:rsidR="0002651D" w:rsidRPr="0002651D">
        <w:rPr>
          <w:sz w:val="22"/>
          <w:szCs w:val="22"/>
          <w:lang w:val="sv-SE"/>
        </w:rPr>
        <w:t>Acusticums</w:t>
      </w:r>
      <w:proofErr w:type="spellEnd"/>
      <w:r w:rsidR="0002651D" w:rsidRPr="0002651D">
        <w:rPr>
          <w:sz w:val="22"/>
          <w:szCs w:val="22"/>
          <w:lang w:val="sv-SE"/>
        </w:rPr>
        <w:t xml:space="preserve"> och </w:t>
      </w:r>
      <w:r w:rsidR="00DC4D99">
        <w:rPr>
          <w:sz w:val="22"/>
          <w:szCs w:val="22"/>
          <w:lang w:val="sv-SE"/>
        </w:rPr>
        <w:t>Kulturmötesplatsens</w:t>
      </w:r>
      <w:r w:rsidR="0002651D" w:rsidRPr="0002651D">
        <w:rPr>
          <w:sz w:val="22"/>
          <w:szCs w:val="22"/>
          <w:lang w:val="sv-SE"/>
        </w:rPr>
        <w:t xml:space="preserve"> verksamhet. En fortsatt utredning kring organisatorisk tillhörighet för Kulturskolan bör ske.</w:t>
      </w:r>
    </w:p>
    <w:p w:rsidR="00DF6624" w:rsidRDefault="00DF6624" w:rsidP="006E78F7">
      <w:pPr>
        <w:pStyle w:val="Default"/>
        <w:rPr>
          <w:sz w:val="22"/>
          <w:szCs w:val="22"/>
          <w:lang w:val="sv-SE"/>
        </w:rPr>
      </w:pPr>
    </w:p>
    <w:p w:rsidR="00DF6624" w:rsidRPr="00DB46E6" w:rsidRDefault="00DF6624" w:rsidP="00DF6624">
      <w:pPr>
        <w:pStyle w:val="Default"/>
        <w:rPr>
          <w:sz w:val="22"/>
          <w:szCs w:val="22"/>
          <w:lang w:val="sv-SE"/>
        </w:rPr>
      </w:pPr>
      <w:r>
        <w:rPr>
          <w:sz w:val="22"/>
          <w:szCs w:val="22"/>
          <w:lang w:val="sv-SE"/>
        </w:rPr>
        <w:t>Anläggningar för kultur</w:t>
      </w:r>
      <w:r w:rsidR="00EF7769">
        <w:rPr>
          <w:sz w:val="22"/>
          <w:szCs w:val="22"/>
          <w:lang w:val="sv-SE"/>
        </w:rPr>
        <w:t>, park</w:t>
      </w:r>
      <w:r>
        <w:rPr>
          <w:sz w:val="22"/>
          <w:szCs w:val="22"/>
          <w:lang w:val="sv-SE"/>
        </w:rPr>
        <w:t xml:space="preserve"> och fritid kopplas starkt till </w:t>
      </w:r>
      <w:r w:rsidRPr="004208D2">
        <w:rPr>
          <w:b/>
          <w:sz w:val="22"/>
          <w:szCs w:val="22"/>
          <w:lang w:val="sv-SE"/>
        </w:rPr>
        <w:t>attraktiva boendemiljöer</w:t>
      </w:r>
      <w:r>
        <w:rPr>
          <w:b/>
          <w:sz w:val="22"/>
          <w:szCs w:val="22"/>
          <w:lang w:val="sv-SE"/>
        </w:rPr>
        <w:t xml:space="preserve"> </w:t>
      </w:r>
      <w:r w:rsidRPr="00EA575A">
        <w:rPr>
          <w:sz w:val="22"/>
          <w:szCs w:val="22"/>
          <w:lang w:val="sv-SE"/>
        </w:rPr>
        <w:t>och stadens attraktivitet.</w:t>
      </w:r>
      <w:r>
        <w:rPr>
          <w:sz w:val="22"/>
          <w:szCs w:val="22"/>
          <w:lang w:val="sv-SE"/>
        </w:rPr>
        <w:t xml:space="preserve"> Det behövs anläggningar som svarar upp mot unga, allmänhetens, idrottsrörelsen och elitidrottens behov. Det är ett hårt tryck från föreningslivet på anläggning</w:t>
      </w:r>
      <w:r w:rsidR="002268CB">
        <w:rPr>
          <w:sz w:val="22"/>
          <w:szCs w:val="22"/>
          <w:lang w:val="sv-SE"/>
        </w:rPr>
        <w:t>ar</w:t>
      </w:r>
      <w:r>
        <w:rPr>
          <w:sz w:val="22"/>
          <w:szCs w:val="22"/>
          <w:lang w:val="sv-SE"/>
        </w:rPr>
        <w:t xml:space="preserve">. Innebandyn växer på ungdomssidan och </w:t>
      </w:r>
      <w:r w:rsidR="00CB511C">
        <w:rPr>
          <w:sz w:val="22"/>
          <w:szCs w:val="22"/>
          <w:lang w:val="sv-SE"/>
        </w:rPr>
        <w:t>har ett lag</w:t>
      </w:r>
      <w:r>
        <w:rPr>
          <w:sz w:val="22"/>
          <w:szCs w:val="22"/>
          <w:lang w:val="sv-SE"/>
        </w:rPr>
        <w:t xml:space="preserve"> i allsvenskan vilket ökar behovet av tider i sporthallarna. På fotbollssidan är bristen av konstgräsplaner mycket stor och har bla lett till tidsbegränsningar och att önskat antal tider inte kan tillgodoses. Det är av stor vikt att planerade satsningar löper enligt tidsplan</w:t>
      </w:r>
      <w:r w:rsidR="00EF7769">
        <w:rPr>
          <w:sz w:val="22"/>
          <w:szCs w:val="22"/>
          <w:lang w:val="sv-SE"/>
        </w:rPr>
        <w:t>.</w:t>
      </w:r>
      <w:r>
        <w:rPr>
          <w:sz w:val="22"/>
          <w:szCs w:val="22"/>
          <w:lang w:val="sv-SE"/>
        </w:rPr>
        <w:t xml:space="preserve"> </w:t>
      </w:r>
      <w:proofErr w:type="spellStart"/>
      <w:r>
        <w:rPr>
          <w:sz w:val="22"/>
          <w:szCs w:val="22"/>
          <w:lang w:val="sv-SE"/>
        </w:rPr>
        <w:t>Pitholms</w:t>
      </w:r>
      <w:proofErr w:type="spellEnd"/>
      <w:r>
        <w:rPr>
          <w:sz w:val="22"/>
          <w:szCs w:val="22"/>
          <w:lang w:val="sv-SE"/>
        </w:rPr>
        <w:t xml:space="preserve"> sporthall, LF arena och Övertryckshall (Airdome) för fotbollen</w:t>
      </w:r>
      <w:r w:rsidR="003E2D58">
        <w:rPr>
          <w:sz w:val="22"/>
          <w:szCs w:val="22"/>
          <w:lang w:val="sv-SE"/>
        </w:rPr>
        <w:t xml:space="preserve"> är viktigt att prioritera. </w:t>
      </w:r>
      <w:r>
        <w:rPr>
          <w:sz w:val="22"/>
          <w:szCs w:val="22"/>
          <w:lang w:val="sv-SE"/>
        </w:rPr>
        <w:t xml:space="preserve">För att kunna hålla en hög kvalité på anläggningar är en effektiv drift och löpande underhåll avgörande. Att äga anläggningar med fastigheter ställer krav på kompetens inom ett flertal område som inte finns inom Kultur, park och fritid som främst har sin kompetens inom verksamhetsfrågor. Det vore därför bra om anläggningar som ägs av Kultur, park och fritid övergick till Fastighets och service som </w:t>
      </w:r>
      <w:r w:rsidRPr="00DB46E6">
        <w:rPr>
          <w:sz w:val="22"/>
          <w:szCs w:val="22"/>
          <w:lang w:val="sv-SE"/>
        </w:rPr>
        <w:t xml:space="preserve">har kompetens inom fastighetsfrågor. </w:t>
      </w:r>
    </w:p>
    <w:p w:rsidR="003E2D58" w:rsidRPr="00DB46E6" w:rsidRDefault="003E2D58" w:rsidP="006E78F7">
      <w:pPr>
        <w:pStyle w:val="Default"/>
        <w:rPr>
          <w:sz w:val="22"/>
          <w:szCs w:val="22"/>
          <w:lang w:val="sv-SE"/>
        </w:rPr>
      </w:pPr>
    </w:p>
    <w:p w:rsidR="00DB46E6" w:rsidRPr="00DB46E6" w:rsidRDefault="00DB46E6" w:rsidP="00DB46E6">
      <w:pPr>
        <w:autoSpaceDE w:val="0"/>
        <w:autoSpaceDN w:val="0"/>
        <w:adjustRightInd w:val="0"/>
        <w:rPr>
          <w:rFonts w:eastAsiaTheme="minorHAnsi"/>
          <w:sz w:val="22"/>
          <w:szCs w:val="22"/>
          <w:lang w:eastAsia="en-US"/>
        </w:rPr>
      </w:pPr>
      <w:r w:rsidRPr="00DB46E6">
        <w:rPr>
          <w:rFonts w:eastAsiaTheme="minorHAnsi"/>
          <w:sz w:val="22"/>
          <w:szCs w:val="22"/>
          <w:lang w:eastAsia="en-US"/>
        </w:rPr>
        <w:lastRenderedPageBreak/>
        <w:t xml:space="preserve">En tilltalande stadsbild är en viktig pusselbit för att skapa en </w:t>
      </w:r>
      <w:r w:rsidRPr="00410734">
        <w:rPr>
          <w:rFonts w:eastAsiaTheme="minorHAnsi"/>
          <w:b/>
          <w:sz w:val="22"/>
          <w:szCs w:val="22"/>
          <w:lang w:eastAsia="en-US"/>
        </w:rPr>
        <w:t>attraktiv boendeort</w:t>
      </w:r>
      <w:r>
        <w:rPr>
          <w:rFonts w:eastAsiaTheme="minorHAnsi"/>
          <w:sz w:val="22"/>
          <w:szCs w:val="22"/>
          <w:lang w:eastAsia="en-US"/>
        </w:rPr>
        <w:t xml:space="preserve"> och få Piteå att växa till </w:t>
      </w:r>
      <w:r w:rsidRPr="00DB46E6">
        <w:rPr>
          <w:rFonts w:eastAsiaTheme="minorHAnsi"/>
          <w:b/>
          <w:sz w:val="22"/>
          <w:szCs w:val="22"/>
          <w:lang w:eastAsia="en-US"/>
        </w:rPr>
        <w:t>43 000 invånare</w:t>
      </w:r>
      <w:r>
        <w:rPr>
          <w:rFonts w:eastAsiaTheme="minorHAnsi"/>
          <w:sz w:val="22"/>
          <w:szCs w:val="22"/>
          <w:lang w:eastAsia="en-US"/>
        </w:rPr>
        <w:t>.</w:t>
      </w:r>
      <w:r w:rsidRPr="00DB46E6">
        <w:rPr>
          <w:rFonts w:eastAsiaTheme="minorHAnsi"/>
          <w:sz w:val="22"/>
          <w:szCs w:val="22"/>
          <w:lang w:eastAsia="en-US"/>
        </w:rPr>
        <w:t xml:space="preserve"> Parkerna är viktiga offentliga mötesplatser</w:t>
      </w:r>
      <w:r>
        <w:rPr>
          <w:rFonts w:eastAsiaTheme="minorHAnsi"/>
          <w:sz w:val="22"/>
          <w:szCs w:val="22"/>
          <w:lang w:eastAsia="en-US"/>
        </w:rPr>
        <w:t xml:space="preserve"> </w:t>
      </w:r>
      <w:r w:rsidRPr="00DB46E6">
        <w:rPr>
          <w:rFonts w:eastAsiaTheme="minorHAnsi"/>
          <w:sz w:val="22"/>
          <w:szCs w:val="22"/>
          <w:lang w:eastAsia="en-US"/>
        </w:rPr>
        <w:t>som tillgodoser människors behov av rekreation, avkoppling, aktivitet och lek. I parkerna finns</w:t>
      </w:r>
      <w:r>
        <w:rPr>
          <w:rFonts w:eastAsiaTheme="minorHAnsi"/>
          <w:sz w:val="22"/>
          <w:szCs w:val="22"/>
          <w:lang w:eastAsia="en-US"/>
        </w:rPr>
        <w:t xml:space="preserve"> </w:t>
      </w:r>
      <w:r w:rsidRPr="00DB46E6">
        <w:rPr>
          <w:rFonts w:eastAsiaTheme="minorHAnsi"/>
          <w:sz w:val="22"/>
          <w:szCs w:val="22"/>
          <w:lang w:eastAsia="en-US"/>
        </w:rPr>
        <w:t>utrymme för en rad olika aktiviteter och upplevelser vilka har en stor betydelse för människors trivsel</w:t>
      </w:r>
      <w:r>
        <w:rPr>
          <w:rFonts w:eastAsiaTheme="minorHAnsi"/>
          <w:sz w:val="22"/>
          <w:szCs w:val="22"/>
          <w:lang w:eastAsia="en-US"/>
        </w:rPr>
        <w:t xml:space="preserve"> </w:t>
      </w:r>
      <w:r w:rsidRPr="00DB46E6">
        <w:rPr>
          <w:rFonts w:eastAsiaTheme="minorHAnsi"/>
          <w:sz w:val="22"/>
          <w:szCs w:val="22"/>
          <w:lang w:eastAsia="en-US"/>
        </w:rPr>
        <w:t>och livskvaliteten. För att tillgodose behoven av offentliga</w:t>
      </w:r>
      <w:r>
        <w:rPr>
          <w:rFonts w:eastAsiaTheme="minorHAnsi"/>
          <w:sz w:val="22"/>
          <w:szCs w:val="22"/>
          <w:lang w:eastAsia="en-US"/>
        </w:rPr>
        <w:t xml:space="preserve"> </w:t>
      </w:r>
      <w:r w:rsidRPr="00DB46E6">
        <w:rPr>
          <w:rFonts w:eastAsiaTheme="minorHAnsi"/>
          <w:sz w:val="22"/>
          <w:szCs w:val="22"/>
          <w:lang w:eastAsia="en-US"/>
        </w:rPr>
        <w:t>mötesplatser och ytor för rekreation är parkerna i tätbebyggda områden extra viktiga. Förutom att ge skönhet åt staden och bidra till en inbjudande stadsbild ger parkerna området identitet, karaktär och en god livsmiljö för invånarna.</w:t>
      </w:r>
      <w:r>
        <w:rPr>
          <w:rFonts w:eastAsiaTheme="minorHAnsi"/>
          <w:sz w:val="22"/>
          <w:szCs w:val="22"/>
          <w:lang w:eastAsia="en-US"/>
        </w:rPr>
        <w:t xml:space="preserve"> </w:t>
      </w:r>
      <w:r w:rsidRPr="00DB46E6">
        <w:rPr>
          <w:rFonts w:eastAsiaTheme="minorHAnsi"/>
          <w:sz w:val="22"/>
          <w:szCs w:val="22"/>
          <w:lang w:eastAsia="en-US"/>
        </w:rPr>
        <w:t>Vi har i dag brister vad gäller tillgängligheten i flera av våra parker. Gångstråk med lämplig markbeläggning, kontrasterande</w:t>
      </w:r>
      <w:r>
        <w:rPr>
          <w:rFonts w:eastAsiaTheme="minorHAnsi"/>
          <w:sz w:val="22"/>
          <w:szCs w:val="22"/>
          <w:lang w:eastAsia="en-US"/>
        </w:rPr>
        <w:t xml:space="preserve"> </w:t>
      </w:r>
      <w:r w:rsidRPr="00DB46E6">
        <w:rPr>
          <w:rFonts w:eastAsiaTheme="minorHAnsi"/>
          <w:sz w:val="22"/>
          <w:szCs w:val="22"/>
          <w:lang w:eastAsia="en-US"/>
        </w:rPr>
        <w:t>färger, lämplig höjd och utformning på bänkar, tillgängliga skyltar är några exempel på</w:t>
      </w:r>
      <w:r>
        <w:rPr>
          <w:rFonts w:eastAsiaTheme="minorHAnsi"/>
          <w:sz w:val="22"/>
          <w:szCs w:val="22"/>
          <w:lang w:eastAsia="en-US"/>
        </w:rPr>
        <w:t xml:space="preserve"> </w:t>
      </w:r>
      <w:r w:rsidRPr="00DB46E6">
        <w:rPr>
          <w:rFonts w:eastAsiaTheme="minorHAnsi"/>
          <w:sz w:val="22"/>
          <w:szCs w:val="22"/>
          <w:lang w:eastAsia="en-US"/>
        </w:rPr>
        <w:t>insatser som tillgängliggör de gröna miljöerna. Upphöjda bänkar, färgval, texturer osv kan användas för att öka både tillgängligheten</w:t>
      </w:r>
      <w:r>
        <w:rPr>
          <w:rFonts w:eastAsiaTheme="minorHAnsi"/>
          <w:sz w:val="22"/>
          <w:szCs w:val="22"/>
          <w:lang w:eastAsia="en-US"/>
        </w:rPr>
        <w:t xml:space="preserve"> </w:t>
      </w:r>
      <w:r w:rsidRPr="00DB46E6">
        <w:rPr>
          <w:rFonts w:eastAsiaTheme="minorHAnsi"/>
          <w:sz w:val="22"/>
          <w:szCs w:val="22"/>
          <w:lang w:eastAsia="en-US"/>
        </w:rPr>
        <w:t>och möjligheten att njuta av stadens planteringar.</w:t>
      </w:r>
      <w:r>
        <w:rPr>
          <w:rFonts w:eastAsiaTheme="minorHAnsi"/>
          <w:sz w:val="22"/>
          <w:szCs w:val="22"/>
          <w:lang w:eastAsia="en-US"/>
        </w:rPr>
        <w:t xml:space="preserve"> </w:t>
      </w:r>
      <w:r w:rsidRPr="00DB46E6">
        <w:rPr>
          <w:rFonts w:eastAsiaTheme="minorHAnsi"/>
          <w:sz w:val="22"/>
          <w:szCs w:val="22"/>
          <w:lang w:eastAsia="en-US"/>
        </w:rPr>
        <w:t>Belysning</w:t>
      </w:r>
      <w:r>
        <w:rPr>
          <w:rFonts w:eastAsiaTheme="minorHAnsi"/>
          <w:sz w:val="22"/>
          <w:szCs w:val="22"/>
          <w:lang w:eastAsia="en-US"/>
        </w:rPr>
        <w:t xml:space="preserve"> </w:t>
      </w:r>
      <w:r w:rsidRPr="00DB46E6">
        <w:rPr>
          <w:rFonts w:eastAsiaTheme="minorHAnsi"/>
          <w:sz w:val="22"/>
          <w:szCs w:val="22"/>
          <w:lang w:eastAsia="en-US"/>
        </w:rPr>
        <w:t>av gångstråk och vegetation ökar trygghetskänslan och bidrar till en bättre boendemiljö.</w:t>
      </w:r>
      <w:r>
        <w:rPr>
          <w:rFonts w:eastAsiaTheme="minorHAnsi"/>
          <w:sz w:val="22"/>
          <w:szCs w:val="22"/>
          <w:lang w:eastAsia="en-US"/>
        </w:rPr>
        <w:t xml:space="preserve"> </w:t>
      </w:r>
    </w:p>
    <w:p w:rsidR="00D30A0D" w:rsidRDefault="00D30A0D" w:rsidP="006E78F7">
      <w:pPr>
        <w:pStyle w:val="Default"/>
        <w:rPr>
          <w:sz w:val="22"/>
          <w:szCs w:val="22"/>
          <w:lang w:val="sv-SE"/>
        </w:rPr>
      </w:pPr>
    </w:p>
    <w:p w:rsidR="00410734" w:rsidRDefault="00D30A0D" w:rsidP="00410734">
      <w:pPr>
        <w:pStyle w:val="Default"/>
        <w:rPr>
          <w:sz w:val="22"/>
          <w:szCs w:val="22"/>
          <w:lang w:val="sv-SE"/>
        </w:rPr>
      </w:pPr>
      <w:r>
        <w:rPr>
          <w:sz w:val="22"/>
          <w:szCs w:val="22"/>
          <w:lang w:val="sv-SE"/>
        </w:rPr>
        <w:t xml:space="preserve">Satsningar och investeringar ställer ökade krav på drift. Ska vi behålla en hög kvalité och fortsätta utveckla får detta konsekvenser på annan verksamhet. Här krävs en omfördelning och att vissa verksamheter måste stå tillbaka. Kortsiktiga lösningar blir ofta dyra i längden så därför krävs långsiktigt hållbara lösningar. </w:t>
      </w:r>
      <w:r w:rsidR="00410734" w:rsidRPr="00061772">
        <w:rPr>
          <w:sz w:val="22"/>
          <w:szCs w:val="22"/>
          <w:lang w:val="sv-SE"/>
        </w:rPr>
        <w:t>Kultur och fritidsnämnden har en ekonomi i balans trots ett underskott i årsredovisningen. Studio Acusticum som är en egen resultatenhet står för underskottet medan övriga verksamheter gör ett plusresultat.</w:t>
      </w:r>
      <w:r w:rsidR="00410734">
        <w:rPr>
          <w:sz w:val="22"/>
          <w:szCs w:val="22"/>
          <w:lang w:val="sv-SE"/>
        </w:rPr>
        <w:t xml:space="preserve"> </w:t>
      </w:r>
      <w:r w:rsidR="00410734" w:rsidRPr="00410734">
        <w:rPr>
          <w:sz w:val="22"/>
          <w:szCs w:val="22"/>
          <w:lang w:val="sv-SE"/>
        </w:rPr>
        <w:t>Det prognosticerade överskottet hänförs till största delen av medel som avser SM 2016. Där räknar vi med att ca 1,5 mkr kommer att användas under år 2015.</w:t>
      </w:r>
      <w:r w:rsidR="00410734">
        <w:rPr>
          <w:sz w:val="22"/>
          <w:szCs w:val="22"/>
          <w:lang w:val="sv-SE"/>
        </w:rPr>
        <w:t xml:space="preserve"> </w:t>
      </w:r>
      <w:r w:rsidR="00410734" w:rsidRPr="00410734">
        <w:rPr>
          <w:sz w:val="22"/>
          <w:szCs w:val="22"/>
          <w:lang w:val="sv-SE"/>
        </w:rPr>
        <w:t xml:space="preserve">Studio </w:t>
      </w:r>
      <w:proofErr w:type="spellStart"/>
      <w:r w:rsidR="00410734" w:rsidRPr="00410734">
        <w:rPr>
          <w:sz w:val="22"/>
          <w:szCs w:val="22"/>
          <w:lang w:val="sv-SE"/>
        </w:rPr>
        <w:t>Acusticums</w:t>
      </w:r>
      <w:proofErr w:type="spellEnd"/>
      <w:r w:rsidR="00410734" w:rsidRPr="00410734">
        <w:rPr>
          <w:sz w:val="22"/>
          <w:szCs w:val="22"/>
          <w:lang w:val="sv-SE"/>
        </w:rPr>
        <w:t xml:space="preserve"> ökade underskott beror till stor del på personalförstärkningar som har varit nödvändiga för att fullfölja uppdraget.  </w:t>
      </w:r>
    </w:p>
    <w:p w:rsidR="00D30A0D" w:rsidRDefault="00D30A0D" w:rsidP="00410734">
      <w:pPr>
        <w:pStyle w:val="Default"/>
        <w:rPr>
          <w:sz w:val="22"/>
          <w:szCs w:val="22"/>
          <w:lang w:val="sv-SE"/>
        </w:rPr>
      </w:pPr>
    </w:p>
    <w:p w:rsidR="00161C00" w:rsidRPr="00DB2F34" w:rsidRDefault="00161C00" w:rsidP="00161C00">
      <w:pPr>
        <w:pStyle w:val="Rubrik2"/>
        <w:numPr>
          <w:ilvl w:val="0"/>
          <w:numId w:val="1"/>
        </w:numPr>
        <w:ind w:left="284" w:hanging="284"/>
        <w:rPr>
          <w:rFonts w:ascii="Gill Sans MT" w:hAnsi="Gill Sans MT"/>
          <w:sz w:val="28"/>
          <w:szCs w:val="28"/>
          <w:u w:val="none"/>
        </w:rPr>
      </w:pPr>
      <w:r>
        <w:rPr>
          <w:rFonts w:ascii="Gill Sans MT" w:hAnsi="Gill Sans MT"/>
          <w:sz w:val="28"/>
          <w:szCs w:val="28"/>
          <w:u w:val="none"/>
        </w:rPr>
        <w:t xml:space="preserve">Prioriteringar </w:t>
      </w:r>
      <w:r w:rsidR="00EB7F37">
        <w:rPr>
          <w:rFonts w:ascii="Gill Sans MT" w:hAnsi="Gill Sans MT"/>
          <w:sz w:val="28"/>
          <w:szCs w:val="28"/>
          <w:u w:val="none"/>
        </w:rPr>
        <w:t xml:space="preserve">utifrån mål samt </w:t>
      </w:r>
      <w:r>
        <w:rPr>
          <w:rFonts w:ascii="Gill Sans MT" w:hAnsi="Gill Sans MT"/>
          <w:sz w:val="28"/>
          <w:szCs w:val="28"/>
          <w:u w:val="none"/>
        </w:rPr>
        <w:t>konsekvenser för måluppfyllelse</w:t>
      </w:r>
    </w:p>
    <w:p w:rsidR="00DB2728" w:rsidRDefault="00DB2728" w:rsidP="00993AB9">
      <w:pPr>
        <w:autoSpaceDE w:val="0"/>
        <w:autoSpaceDN w:val="0"/>
        <w:adjustRightInd w:val="0"/>
        <w:rPr>
          <w:sz w:val="22"/>
          <w:szCs w:val="22"/>
        </w:rPr>
      </w:pPr>
    </w:p>
    <w:p w:rsidR="00993AB9" w:rsidRPr="00EF7769" w:rsidRDefault="006A6556" w:rsidP="00993AB9">
      <w:pPr>
        <w:autoSpaceDE w:val="0"/>
        <w:autoSpaceDN w:val="0"/>
        <w:adjustRightInd w:val="0"/>
        <w:rPr>
          <w:rFonts w:eastAsiaTheme="minorHAnsi"/>
          <w:sz w:val="22"/>
          <w:szCs w:val="22"/>
          <w:lang w:eastAsia="en-US"/>
        </w:rPr>
      </w:pPr>
      <w:r w:rsidRPr="00EF7769">
        <w:rPr>
          <w:sz w:val="22"/>
          <w:szCs w:val="22"/>
        </w:rPr>
        <w:t xml:space="preserve">Kultur och fritidsnämndens prioriteringar bidrar </w:t>
      </w:r>
      <w:r w:rsidR="00993AB9" w:rsidRPr="00EF7769">
        <w:rPr>
          <w:sz w:val="22"/>
          <w:szCs w:val="22"/>
        </w:rPr>
        <w:t xml:space="preserve">direkt </w:t>
      </w:r>
      <w:r w:rsidRPr="00EF7769">
        <w:rPr>
          <w:sz w:val="22"/>
          <w:szCs w:val="22"/>
        </w:rPr>
        <w:t xml:space="preserve">till att målet </w:t>
      </w:r>
      <w:r w:rsidR="004D3787" w:rsidRPr="00EF7769">
        <w:rPr>
          <w:rFonts w:eastAsiaTheme="minorHAnsi"/>
          <w:b/>
          <w:sz w:val="22"/>
          <w:szCs w:val="22"/>
          <w:lang w:eastAsia="en-US"/>
        </w:rPr>
        <w:t>43 000 invånare</w:t>
      </w:r>
      <w:r w:rsidRPr="00EF7769">
        <w:rPr>
          <w:rFonts w:eastAsiaTheme="minorHAnsi"/>
          <w:sz w:val="22"/>
          <w:szCs w:val="22"/>
          <w:lang w:eastAsia="en-US"/>
        </w:rPr>
        <w:t xml:space="preserve"> uppnås.</w:t>
      </w:r>
      <w:r w:rsidR="00993AB9" w:rsidRPr="00EF7769">
        <w:rPr>
          <w:rFonts w:eastAsiaTheme="minorHAnsi"/>
          <w:sz w:val="22"/>
          <w:szCs w:val="22"/>
          <w:lang w:eastAsia="en-US"/>
        </w:rPr>
        <w:t xml:space="preserve"> </w:t>
      </w:r>
      <w:r w:rsidR="000B499F" w:rsidRPr="00EF7769">
        <w:rPr>
          <w:rFonts w:eastAsiaTheme="minorHAnsi"/>
          <w:sz w:val="22"/>
          <w:szCs w:val="22"/>
          <w:lang w:eastAsia="en-US"/>
        </w:rPr>
        <w:t>M</w:t>
      </w:r>
      <w:r w:rsidR="00993AB9" w:rsidRPr="00EF7769">
        <w:rPr>
          <w:rFonts w:eastAsiaTheme="minorHAnsi"/>
          <w:sz w:val="22"/>
          <w:szCs w:val="22"/>
          <w:lang w:eastAsia="en-US"/>
        </w:rPr>
        <w:t xml:space="preserve">ålen </w:t>
      </w:r>
      <w:r w:rsidR="00993AB9" w:rsidRPr="00EF7769">
        <w:rPr>
          <w:rFonts w:eastAsiaTheme="minorHAnsi"/>
          <w:b/>
          <w:sz w:val="22"/>
          <w:szCs w:val="22"/>
          <w:lang w:eastAsia="en-US"/>
        </w:rPr>
        <w:t>samhällsgemenskap med mångfald som grund</w:t>
      </w:r>
      <w:r w:rsidR="00993AB9" w:rsidRPr="00EF7769">
        <w:rPr>
          <w:rFonts w:eastAsiaTheme="minorHAnsi"/>
          <w:sz w:val="22"/>
          <w:szCs w:val="22"/>
          <w:lang w:eastAsia="en-US"/>
        </w:rPr>
        <w:t xml:space="preserve"> och </w:t>
      </w:r>
      <w:r w:rsidR="006D1731" w:rsidRPr="00EF7769">
        <w:rPr>
          <w:rFonts w:eastAsiaTheme="minorHAnsi"/>
          <w:sz w:val="22"/>
          <w:szCs w:val="22"/>
          <w:lang w:eastAsia="en-US"/>
        </w:rPr>
        <w:t>a</w:t>
      </w:r>
      <w:r w:rsidR="00993AB9" w:rsidRPr="00EF7769">
        <w:rPr>
          <w:rFonts w:eastAsiaTheme="minorHAnsi"/>
          <w:b/>
          <w:sz w:val="22"/>
          <w:szCs w:val="22"/>
          <w:lang w:eastAsia="en-US"/>
        </w:rPr>
        <w:t>ttrakti</w:t>
      </w:r>
      <w:r w:rsidR="000B499F" w:rsidRPr="00EF7769">
        <w:rPr>
          <w:rFonts w:eastAsiaTheme="minorHAnsi"/>
          <w:b/>
          <w:sz w:val="22"/>
          <w:szCs w:val="22"/>
          <w:lang w:eastAsia="en-US"/>
        </w:rPr>
        <w:t xml:space="preserve">va och varierande boendemiljöer </w:t>
      </w:r>
      <w:r w:rsidR="000B499F" w:rsidRPr="00EF7769">
        <w:rPr>
          <w:rFonts w:eastAsiaTheme="minorHAnsi"/>
          <w:sz w:val="22"/>
          <w:szCs w:val="22"/>
          <w:lang w:eastAsia="en-US"/>
        </w:rPr>
        <w:t>påverkas indirekt.</w:t>
      </w:r>
    </w:p>
    <w:p w:rsidR="0038364D" w:rsidRPr="00EF7769" w:rsidRDefault="0038364D" w:rsidP="00993AB9">
      <w:pPr>
        <w:autoSpaceDE w:val="0"/>
        <w:autoSpaceDN w:val="0"/>
        <w:adjustRightInd w:val="0"/>
        <w:rPr>
          <w:rFonts w:eastAsiaTheme="minorHAnsi"/>
          <w:sz w:val="22"/>
          <w:szCs w:val="22"/>
          <w:lang w:eastAsia="en-US"/>
        </w:rPr>
      </w:pPr>
    </w:p>
    <w:p w:rsidR="0006320B" w:rsidRPr="00EF7769" w:rsidRDefault="0006320B" w:rsidP="00993AB9">
      <w:pPr>
        <w:autoSpaceDE w:val="0"/>
        <w:autoSpaceDN w:val="0"/>
        <w:adjustRightInd w:val="0"/>
        <w:rPr>
          <w:rFonts w:eastAsiaTheme="minorHAnsi"/>
          <w:b/>
          <w:sz w:val="22"/>
          <w:szCs w:val="22"/>
          <w:lang w:eastAsia="en-US"/>
        </w:rPr>
      </w:pPr>
      <w:r w:rsidRPr="00EF7769">
        <w:rPr>
          <w:rFonts w:eastAsiaTheme="minorHAnsi"/>
          <w:b/>
          <w:sz w:val="22"/>
          <w:szCs w:val="22"/>
          <w:lang w:eastAsia="en-US"/>
        </w:rPr>
        <w:t>Prioriterade mål för Kultur och fritidsnämnden</w:t>
      </w:r>
      <w:r w:rsidR="006531B9" w:rsidRPr="00EF7769">
        <w:rPr>
          <w:rFonts w:eastAsiaTheme="minorHAnsi"/>
          <w:b/>
          <w:sz w:val="22"/>
          <w:szCs w:val="22"/>
          <w:lang w:eastAsia="en-US"/>
        </w:rPr>
        <w:t>:</w:t>
      </w:r>
    </w:p>
    <w:p w:rsidR="0006320B" w:rsidRPr="00EF7769" w:rsidRDefault="0006320B" w:rsidP="00286A70">
      <w:pPr>
        <w:pStyle w:val="Liststycke"/>
        <w:numPr>
          <w:ilvl w:val="0"/>
          <w:numId w:val="14"/>
        </w:numPr>
        <w:rPr>
          <w:i/>
          <w:sz w:val="22"/>
          <w:szCs w:val="22"/>
        </w:rPr>
      </w:pPr>
      <w:r w:rsidRPr="00EF7769">
        <w:rPr>
          <w:i/>
          <w:sz w:val="22"/>
          <w:szCs w:val="22"/>
        </w:rPr>
        <w:t>Barn och unga ges förutsättningar till inflytande i frågor som berör dem.</w:t>
      </w:r>
    </w:p>
    <w:p w:rsidR="0006320B" w:rsidRPr="00EF7769" w:rsidRDefault="0006320B" w:rsidP="00286A70">
      <w:pPr>
        <w:pStyle w:val="Liststycke"/>
        <w:numPr>
          <w:ilvl w:val="0"/>
          <w:numId w:val="14"/>
        </w:numPr>
        <w:autoSpaceDE w:val="0"/>
        <w:autoSpaceDN w:val="0"/>
        <w:adjustRightInd w:val="0"/>
        <w:rPr>
          <w:i/>
          <w:sz w:val="22"/>
          <w:szCs w:val="22"/>
        </w:rPr>
      </w:pPr>
      <w:r w:rsidRPr="00EF7769">
        <w:rPr>
          <w:i/>
          <w:sz w:val="22"/>
          <w:szCs w:val="22"/>
        </w:rPr>
        <w:t>Piteå ska erbjuda goda förutsättningar för ett livslångt lärande</w:t>
      </w:r>
    </w:p>
    <w:p w:rsidR="0006320B" w:rsidRPr="00EF7769" w:rsidRDefault="0006320B" w:rsidP="00286A70">
      <w:pPr>
        <w:pStyle w:val="Liststycke"/>
        <w:numPr>
          <w:ilvl w:val="0"/>
          <w:numId w:val="14"/>
        </w:numPr>
        <w:autoSpaceDE w:val="0"/>
        <w:autoSpaceDN w:val="0"/>
        <w:adjustRightInd w:val="0"/>
        <w:rPr>
          <w:i/>
          <w:sz w:val="22"/>
          <w:szCs w:val="22"/>
        </w:rPr>
      </w:pPr>
      <w:r w:rsidRPr="00EF7769">
        <w:rPr>
          <w:i/>
          <w:sz w:val="22"/>
          <w:szCs w:val="22"/>
        </w:rPr>
        <w:t>Service och bemötande utformas jämställt i kommunens alla verksamheter</w:t>
      </w:r>
    </w:p>
    <w:p w:rsidR="0006320B" w:rsidRPr="00EF7769" w:rsidRDefault="0006320B" w:rsidP="00286A70">
      <w:pPr>
        <w:pStyle w:val="Liststycke"/>
        <w:numPr>
          <w:ilvl w:val="0"/>
          <w:numId w:val="14"/>
        </w:numPr>
        <w:autoSpaceDE w:val="0"/>
        <w:autoSpaceDN w:val="0"/>
        <w:adjustRightInd w:val="0"/>
        <w:rPr>
          <w:i/>
          <w:sz w:val="22"/>
          <w:szCs w:val="22"/>
        </w:rPr>
      </w:pPr>
      <w:r w:rsidRPr="00EF7769">
        <w:rPr>
          <w:i/>
          <w:sz w:val="22"/>
          <w:szCs w:val="22"/>
        </w:rPr>
        <w:t>Piteå ska vara tryggt och tillgängligt för alla</w:t>
      </w:r>
    </w:p>
    <w:p w:rsidR="001D36EF" w:rsidRPr="00EF7769" w:rsidRDefault="001D36EF" w:rsidP="00286A70">
      <w:pPr>
        <w:pStyle w:val="Liststycke"/>
        <w:numPr>
          <w:ilvl w:val="0"/>
          <w:numId w:val="14"/>
        </w:numPr>
        <w:rPr>
          <w:i/>
          <w:sz w:val="22"/>
          <w:szCs w:val="22"/>
        </w:rPr>
      </w:pPr>
      <w:r w:rsidRPr="00EF7769">
        <w:rPr>
          <w:i/>
          <w:sz w:val="22"/>
          <w:szCs w:val="22"/>
        </w:rPr>
        <w:t>Piteå ska erbjuda förutsättningar för miljövänliga och hälsosamma val i vardagen</w:t>
      </w:r>
    </w:p>
    <w:p w:rsidR="002268CB" w:rsidRDefault="002268CB" w:rsidP="0006320B">
      <w:pPr>
        <w:rPr>
          <w:sz w:val="22"/>
          <w:szCs w:val="22"/>
        </w:rPr>
      </w:pPr>
    </w:p>
    <w:p w:rsidR="002C4C6D" w:rsidRDefault="00DE238E" w:rsidP="00817833">
      <w:pPr>
        <w:rPr>
          <w:sz w:val="22"/>
          <w:szCs w:val="22"/>
        </w:rPr>
      </w:pPr>
      <w:r w:rsidRPr="00CB511C">
        <w:rPr>
          <w:sz w:val="22"/>
          <w:szCs w:val="22"/>
        </w:rPr>
        <w:t>Nolia/Norrstrand</w:t>
      </w:r>
      <w:r>
        <w:rPr>
          <w:sz w:val="22"/>
          <w:szCs w:val="22"/>
        </w:rPr>
        <w:t xml:space="preserve"> är utpekat som ett </w:t>
      </w:r>
      <w:r w:rsidRPr="00BF6B35">
        <w:rPr>
          <w:b/>
          <w:sz w:val="22"/>
          <w:szCs w:val="22"/>
        </w:rPr>
        <w:t xml:space="preserve">strategiskt viktigt </w:t>
      </w:r>
      <w:r w:rsidR="002268CB" w:rsidRPr="00BF6B35">
        <w:rPr>
          <w:b/>
          <w:sz w:val="22"/>
          <w:szCs w:val="22"/>
        </w:rPr>
        <w:t>aktivitets</w:t>
      </w:r>
      <w:r w:rsidRPr="00BF6B35">
        <w:rPr>
          <w:b/>
          <w:sz w:val="22"/>
          <w:szCs w:val="22"/>
        </w:rPr>
        <w:t>område</w:t>
      </w:r>
      <w:r w:rsidR="002268CB" w:rsidRPr="00BF6B35">
        <w:rPr>
          <w:b/>
          <w:sz w:val="22"/>
          <w:szCs w:val="22"/>
        </w:rPr>
        <w:t>.</w:t>
      </w:r>
      <w:r w:rsidR="002268CB">
        <w:rPr>
          <w:sz w:val="22"/>
          <w:szCs w:val="22"/>
        </w:rPr>
        <w:t xml:space="preserve"> Det krävs dock satsningar på infrastruktur för att </w:t>
      </w:r>
      <w:r>
        <w:rPr>
          <w:sz w:val="22"/>
          <w:szCs w:val="22"/>
        </w:rPr>
        <w:t xml:space="preserve">visionsarbetet ska förverkligas. </w:t>
      </w:r>
      <w:r w:rsidR="007B316B">
        <w:rPr>
          <w:sz w:val="22"/>
          <w:szCs w:val="22"/>
        </w:rPr>
        <w:t>A</w:t>
      </w:r>
      <w:r w:rsidR="002268CB">
        <w:rPr>
          <w:sz w:val="22"/>
          <w:szCs w:val="22"/>
        </w:rPr>
        <w:t>rbetsgrupp</w:t>
      </w:r>
      <w:r w:rsidR="007B316B">
        <w:rPr>
          <w:sz w:val="22"/>
          <w:szCs w:val="22"/>
        </w:rPr>
        <w:t>en som utrett en Ö</w:t>
      </w:r>
      <w:r w:rsidR="007B316B" w:rsidRPr="007B316B">
        <w:rPr>
          <w:i/>
          <w:sz w:val="22"/>
          <w:szCs w:val="22"/>
        </w:rPr>
        <w:t>vertyckshall</w:t>
      </w:r>
      <w:r w:rsidR="002268CB" w:rsidRPr="007B316B">
        <w:rPr>
          <w:i/>
          <w:sz w:val="22"/>
          <w:szCs w:val="22"/>
        </w:rPr>
        <w:t xml:space="preserve"> </w:t>
      </w:r>
      <w:r w:rsidR="007B316B" w:rsidRPr="007B316B">
        <w:rPr>
          <w:i/>
          <w:sz w:val="22"/>
          <w:szCs w:val="22"/>
        </w:rPr>
        <w:t>(Airdome)</w:t>
      </w:r>
      <w:r w:rsidR="007B316B">
        <w:rPr>
          <w:sz w:val="22"/>
          <w:szCs w:val="22"/>
        </w:rPr>
        <w:t xml:space="preserve"> </w:t>
      </w:r>
      <w:r w:rsidR="002268CB">
        <w:rPr>
          <w:sz w:val="22"/>
          <w:szCs w:val="22"/>
        </w:rPr>
        <w:t xml:space="preserve">anser att </w:t>
      </w:r>
      <w:r w:rsidR="007B316B">
        <w:rPr>
          <w:sz w:val="22"/>
          <w:szCs w:val="22"/>
        </w:rPr>
        <w:t xml:space="preserve">den </w:t>
      </w:r>
      <w:r w:rsidR="002268CB">
        <w:rPr>
          <w:sz w:val="22"/>
          <w:szCs w:val="22"/>
        </w:rPr>
        <w:t xml:space="preserve">bör placeras på detta område </w:t>
      </w:r>
      <w:r w:rsidR="007B316B">
        <w:rPr>
          <w:sz w:val="22"/>
          <w:szCs w:val="22"/>
        </w:rPr>
        <w:t>vilket även Piteåpanelen är enig om. Fotbollen är enig om att en upp- och nedtagbar Airdome</w:t>
      </w:r>
      <w:r w:rsidR="002268CB">
        <w:rPr>
          <w:sz w:val="22"/>
          <w:szCs w:val="22"/>
        </w:rPr>
        <w:t xml:space="preserve"> är den bästa lösningen för </w:t>
      </w:r>
      <w:r w:rsidR="002268CB" w:rsidRPr="00831C85">
        <w:rPr>
          <w:sz w:val="22"/>
          <w:szCs w:val="22"/>
        </w:rPr>
        <w:t xml:space="preserve">fotbollen (bil </w:t>
      </w:r>
      <w:r w:rsidR="002C7EC9" w:rsidRPr="00831C85">
        <w:rPr>
          <w:sz w:val="22"/>
          <w:szCs w:val="22"/>
        </w:rPr>
        <w:t>2.8</w:t>
      </w:r>
      <w:r w:rsidR="002268CB" w:rsidRPr="00831C85">
        <w:rPr>
          <w:sz w:val="22"/>
          <w:szCs w:val="22"/>
        </w:rPr>
        <w:t>)</w:t>
      </w:r>
      <w:r w:rsidR="002C7EC9" w:rsidRPr="00831C85">
        <w:rPr>
          <w:sz w:val="22"/>
          <w:szCs w:val="22"/>
        </w:rPr>
        <w:t xml:space="preserve">. </w:t>
      </w:r>
      <w:r w:rsidR="002268CB" w:rsidRPr="00831C85">
        <w:rPr>
          <w:sz w:val="22"/>
          <w:szCs w:val="22"/>
        </w:rPr>
        <w:t xml:space="preserve">En </w:t>
      </w:r>
      <w:r w:rsidR="002268CB" w:rsidRPr="00831C85">
        <w:rPr>
          <w:i/>
          <w:sz w:val="22"/>
          <w:szCs w:val="22"/>
        </w:rPr>
        <w:t xml:space="preserve">skatepark </w:t>
      </w:r>
      <w:r w:rsidR="002268CB" w:rsidRPr="00831C85">
        <w:rPr>
          <w:sz w:val="22"/>
          <w:szCs w:val="22"/>
        </w:rPr>
        <w:t xml:space="preserve">för ungdomar föreslås också inom detta område och kompletterar övriga verksamheter på ett bra sätt (bil </w:t>
      </w:r>
      <w:r w:rsidR="002C7EC9" w:rsidRPr="00831C85">
        <w:rPr>
          <w:sz w:val="22"/>
          <w:szCs w:val="22"/>
        </w:rPr>
        <w:t>2.10</w:t>
      </w:r>
      <w:r w:rsidR="002268CB" w:rsidRPr="00831C85">
        <w:rPr>
          <w:sz w:val="22"/>
          <w:szCs w:val="22"/>
        </w:rPr>
        <w:t xml:space="preserve">). </w:t>
      </w:r>
      <w:r w:rsidR="00EC0186" w:rsidRPr="00831C85">
        <w:rPr>
          <w:sz w:val="22"/>
          <w:szCs w:val="22"/>
        </w:rPr>
        <w:t>Dessa satsningar är rikta</w:t>
      </w:r>
      <w:r w:rsidR="00E07D8C" w:rsidRPr="00831C85">
        <w:rPr>
          <w:sz w:val="22"/>
          <w:szCs w:val="22"/>
        </w:rPr>
        <w:t>de</w:t>
      </w:r>
      <w:r w:rsidR="00EC0186" w:rsidRPr="00831C85">
        <w:rPr>
          <w:sz w:val="22"/>
          <w:szCs w:val="22"/>
        </w:rPr>
        <w:t xml:space="preserve"> mot en stor grupp barn och</w:t>
      </w:r>
      <w:r w:rsidR="007B316B" w:rsidRPr="00831C85">
        <w:rPr>
          <w:sz w:val="22"/>
          <w:szCs w:val="22"/>
        </w:rPr>
        <w:t xml:space="preserve"> unga. Fotbollen är den </w:t>
      </w:r>
      <w:r w:rsidR="00EC0186" w:rsidRPr="00831C85">
        <w:rPr>
          <w:sz w:val="22"/>
          <w:szCs w:val="22"/>
        </w:rPr>
        <w:t>största idrotten och har lika många aktiva flickor som pojkar. Skate</w:t>
      </w:r>
      <w:r w:rsidR="00E07D8C" w:rsidRPr="00831C85">
        <w:rPr>
          <w:sz w:val="22"/>
          <w:szCs w:val="22"/>
        </w:rPr>
        <w:t>-</w:t>
      </w:r>
      <w:r w:rsidR="00EC0186" w:rsidRPr="00831C85">
        <w:rPr>
          <w:sz w:val="22"/>
          <w:szCs w:val="22"/>
        </w:rPr>
        <w:t xml:space="preserve"> och </w:t>
      </w:r>
      <w:proofErr w:type="spellStart"/>
      <w:r w:rsidR="00EC0186" w:rsidRPr="00831C85">
        <w:rPr>
          <w:sz w:val="22"/>
          <w:szCs w:val="22"/>
        </w:rPr>
        <w:t>streetkulturen</w:t>
      </w:r>
      <w:proofErr w:type="spellEnd"/>
      <w:r w:rsidR="00EC0186" w:rsidRPr="00831C85">
        <w:rPr>
          <w:sz w:val="22"/>
          <w:szCs w:val="22"/>
        </w:rPr>
        <w:t xml:space="preserve"> är starkt växande och riktar sig främst till unga i oorganiserad form. </w:t>
      </w:r>
      <w:r w:rsidR="00817833" w:rsidRPr="00831C85">
        <w:rPr>
          <w:sz w:val="22"/>
          <w:szCs w:val="22"/>
        </w:rPr>
        <w:t xml:space="preserve">Elitfotbollens krav på LF arena ställer krav på belysning som inte kan tillgodoses med befintlig elförsörjning och belysningslösning. Här krävs investeringar med nya </w:t>
      </w:r>
      <w:r w:rsidR="00817833" w:rsidRPr="00831C85">
        <w:rPr>
          <w:i/>
          <w:sz w:val="22"/>
          <w:szCs w:val="22"/>
        </w:rPr>
        <w:t>belysningsmaster, armaturer och övergång till högspänningssystem</w:t>
      </w:r>
      <w:r w:rsidR="00817833" w:rsidRPr="00831C85">
        <w:rPr>
          <w:sz w:val="22"/>
          <w:szCs w:val="22"/>
        </w:rPr>
        <w:t>. Görs inte detta riske</w:t>
      </w:r>
      <w:r w:rsidR="007B316B" w:rsidRPr="00831C85">
        <w:rPr>
          <w:sz w:val="22"/>
          <w:szCs w:val="22"/>
        </w:rPr>
        <w:t>rar</w:t>
      </w:r>
      <w:r w:rsidR="00817833" w:rsidRPr="00831C85">
        <w:rPr>
          <w:sz w:val="22"/>
          <w:szCs w:val="22"/>
        </w:rPr>
        <w:t xml:space="preserve"> Piteå IF </w:t>
      </w:r>
      <w:r w:rsidR="007B316B" w:rsidRPr="00831C85">
        <w:rPr>
          <w:sz w:val="22"/>
          <w:szCs w:val="22"/>
        </w:rPr>
        <w:t xml:space="preserve">att </w:t>
      </w:r>
      <w:proofErr w:type="gramStart"/>
      <w:r w:rsidR="00817833" w:rsidRPr="00831C85">
        <w:rPr>
          <w:sz w:val="22"/>
          <w:szCs w:val="22"/>
        </w:rPr>
        <w:t>ej</w:t>
      </w:r>
      <w:proofErr w:type="gramEnd"/>
      <w:r w:rsidR="00817833" w:rsidRPr="00831C85">
        <w:rPr>
          <w:sz w:val="22"/>
          <w:szCs w:val="22"/>
        </w:rPr>
        <w:t xml:space="preserve"> få spela sina </w:t>
      </w:r>
      <w:r w:rsidR="007B316B" w:rsidRPr="00831C85">
        <w:rPr>
          <w:sz w:val="22"/>
          <w:szCs w:val="22"/>
        </w:rPr>
        <w:t xml:space="preserve">allsvenska </w:t>
      </w:r>
      <w:r w:rsidR="00817833" w:rsidRPr="00831C85">
        <w:rPr>
          <w:sz w:val="22"/>
          <w:szCs w:val="22"/>
        </w:rPr>
        <w:t>hemm</w:t>
      </w:r>
      <w:r w:rsidR="002C4C6D" w:rsidRPr="00831C85">
        <w:rPr>
          <w:sz w:val="22"/>
          <w:szCs w:val="22"/>
        </w:rPr>
        <w:t xml:space="preserve">atcher på LF arena (bil </w:t>
      </w:r>
      <w:r w:rsidR="002C7EC9" w:rsidRPr="00831C85">
        <w:rPr>
          <w:sz w:val="22"/>
          <w:szCs w:val="22"/>
        </w:rPr>
        <w:t>2.12</w:t>
      </w:r>
      <w:r w:rsidR="002C4C6D" w:rsidRPr="00831C85">
        <w:rPr>
          <w:sz w:val="22"/>
          <w:szCs w:val="22"/>
        </w:rPr>
        <w:t>).</w:t>
      </w:r>
    </w:p>
    <w:p w:rsidR="002C4C6D" w:rsidRDefault="00D458C1" w:rsidP="00817833">
      <w:pPr>
        <w:rPr>
          <w:sz w:val="22"/>
          <w:szCs w:val="22"/>
        </w:rPr>
      </w:pPr>
      <w:r>
        <w:rPr>
          <w:sz w:val="22"/>
          <w:szCs w:val="22"/>
        </w:rPr>
        <w:t xml:space="preserve">Renoveringen av </w:t>
      </w:r>
      <w:r w:rsidRPr="00D458C1">
        <w:rPr>
          <w:i/>
          <w:sz w:val="22"/>
          <w:szCs w:val="22"/>
        </w:rPr>
        <w:t>friidrottshallen innebär en ökad driftskostnad</w:t>
      </w:r>
      <w:r>
        <w:rPr>
          <w:sz w:val="22"/>
          <w:szCs w:val="22"/>
        </w:rPr>
        <w:t xml:space="preserve"> redan från hösten 2014 (311 000 kr) vilket </w:t>
      </w:r>
      <w:proofErr w:type="gramStart"/>
      <w:r>
        <w:rPr>
          <w:sz w:val="22"/>
          <w:szCs w:val="22"/>
        </w:rPr>
        <w:t>ej</w:t>
      </w:r>
      <w:proofErr w:type="gramEnd"/>
      <w:r>
        <w:rPr>
          <w:sz w:val="22"/>
          <w:szCs w:val="22"/>
        </w:rPr>
        <w:t xml:space="preserve"> beviljats medel för. Från 2015 är driftskostnaden </w:t>
      </w:r>
      <w:r w:rsidRPr="00D458C1">
        <w:rPr>
          <w:sz w:val="22"/>
          <w:szCs w:val="22"/>
          <w:highlight w:val="yellow"/>
        </w:rPr>
        <w:t>X</w:t>
      </w:r>
      <w:r>
        <w:rPr>
          <w:sz w:val="22"/>
          <w:szCs w:val="22"/>
          <w:highlight w:val="yellow"/>
        </w:rPr>
        <w:t>X</w:t>
      </w:r>
      <w:r w:rsidRPr="00D458C1">
        <w:rPr>
          <w:sz w:val="22"/>
          <w:szCs w:val="22"/>
          <w:highlight w:val="yellow"/>
        </w:rPr>
        <w:t>X</w:t>
      </w:r>
      <w:r>
        <w:rPr>
          <w:sz w:val="22"/>
          <w:szCs w:val="22"/>
        </w:rPr>
        <w:t xml:space="preserve"> kr. Beviljas inte dessa medel kan vi inte bedriva någon verksamhet i friidrottshallen.</w:t>
      </w:r>
    </w:p>
    <w:p w:rsidR="00DC4D99" w:rsidRDefault="00DC4D99" w:rsidP="00954E82">
      <w:pPr>
        <w:rPr>
          <w:sz w:val="22"/>
          <w:szCs w:val="22"/>
        </w:rPr>
      </w:pPr>
    </w:p>
    <w:p w:rsidR="00817833" w:rsidRDefault="00027903" w:rsidP="00954E82">
      <w:pPr>
        <w:rPr>
          <w:sz w:val="22"/>
          <w:szCs w:val="22"/>
        </w:rPr>
      </w:pPr>
      <w:r w:rsidRPr="00027903">
        <w:rPr>
          <w:sz w:val="22"/>
          <w:szCs w:val="22"/>
        </w:rPr>
        <w:t>Allhuset</w:t>
      </w:r>
      <w:r w:rsidR="0002651D">
        <w:rPr>
          <w:sz w:val="22"/>
          <w:szCs w:val="22"/>
        </w:rPr>
        <w:t xml:space="preserve"> med </w:t>
      </w:r>
      <w:r w:rsidR="0002651D" w:rsidRPr="0002651D">
        <w:rPr>
          <w:i/>
          <w:sz w:val="22"/>
          <w:szCs w:val="22"/>
        </w:rPr>
        <w:t>kulturmötesplatsen</w:t>
      </w:r>
      <w:r w:rsidRPr="00027903">
        <w:rPr>
          <w:sz w:val="22"/>
          <w:szCs w:val="22"/>
        </w:rPr>
        <w:t xml:space="preserve"> </w:t>
      </w:r>
      <w:r w:rsidR="0002651D">
        <w:rPr>
          <w:sz w:val="22"/>
          <w:szCs w:val="22"/>
        </w:rPr>
        <w:t xml:space="preserve">behöver resurser för att kunna utveckla sin verksamhet. Satsningar på inventarier i form av flexibla möbler och teknikinvesteringar behövs för att skapa den flexibla </w:t>
      </w:r>
      <w:r w:rsidR="0002651D">
        <w:rPr>
          <w:sz w:val="22"/>
          <w:szCs w:val="22"/>
        </w:rPr>
        <w:lastRenderedPageBreak/>
        <w:t xml:space="preserve">kulturmötesplatsen som är önskvärd (bil 2.6). </w:t>
      </w:r>
      <w:r w:rsidR="004E5FAE" w:rsidRPr="004E5FAE">
        <w:rPr>
          <w:sz w:val="22"/>
          <w:szCs w:val="22"/>
        </w:rPr>
        <w:t xml:space="preserve">Studio Acusticum </w:t>
      </w:r>
      <w:r w:rsidR="004E5FAE">
        <w:rPr>
          <w:sz w:val="22"/>
          <w:szCs w:val="22"/>
        </w:rPr>
        <w:t>ä</w:t>
      </w:r>
      <w:r w:rsidR="004E5FAE" w:rsidRPr="004E5FAE">
        <w:rPr>
          <w:sz w:val="22"/>
          <w:szCs w:val="22"/>
        </w:rPr>
        <w:t xml:space="preserve">r ett av norra Europas modernaste konserthus. </w:t>
      </w:r>
      <w:r w:rsidR="004E5FAE">
        <w:rPr>
          <w:sz w:val="22"/>
          <w:szCs w:val="22"/>
        </w:rPr>
        <w:t xml:space="preserve">I takt med teknikutveckling </w:t>
      </w:r>
      <w:r w:rsidR="00AB18DE">
        <w:rPr>
          <w:sz w:val="22"/>
          <w:szCs w:val="22"/>
        </w:rPr>
        <w:t xml:space="preserve">och </w:t>
      </w:r>
      <w:r w:rsidR="004E5FAE">
        <w:rPr>
          <w:sz w:val="22"/>
          <w:szCs w:val="22"/>
        </w:rPr>
        <w:t xml:space="preserve">ökat intresse att </w:t>
      </w:r>
      <w:proofErr w:type="gramStart"/>
      <w:r w:rsidR="004E5FAE">
        <w:rPr>
          <w:sz w:val="22"/>
          <w:szCs w:val="22"/>
        </w:rPr>
        <w:t>nyttja</w:t>
      </w:r>
      <w:proofErr w:type="gramEnd"/>
      <w:r w:rsidR="004E5FAE">
        <w:rPr>
          <w:sz w:val="22"/>
          <w:szCs w:val="22"/>
        </w:rPr>
        <w:t xml:space="preserve"> lokalerna krävs dock att huset är användarvän</w:t>
      </w:r>
      <w:r w:rsidR="00847A3C">
        <w:rPr>
          <w:sz w:val="22"/>
          <w:szCs w:val="22"/>
        </w:rPr>
        <w:t xml:space="preserve">ligt och ställtiden kortas ned </w:t>
      </w:r>
      <w:r w:rsidR="00847A3C" w:rsidRPr="00831C85">
        <w:rPr>
          <w:sz w:val="22"/>
          <w:szCs w:val="22"/>
        </w:rPr>
        <w:t xml:space="preserve">(bil </w:t>
      </w:r>
      <w:r w:rsidR="00831C85">
        <w:rPr>
          <w:sz w:val="22"/>
          <w:szCs w:val="22"/>
        </w:rPr>
        <w:t>2.14</w:t>
      </w:r>
      <w:r w:rsidR="00847A3C" w:rsidRPr="00831C85">
        <w:rPr>
          <w:sz w:val="22"/>
          <w:szCs w:val="22"/>
        </w:rPr>
        <w:t>)</w:t>
      </w:r>
      <w:r w:rsidR="007B316B" w:rsidRPr="00831C85">
        <w:rPr>
          <w:sz w:val="22"/>
          <w:szCs w:val="22"/>
        </w:rPr>
        <w:t>.</w:t>
      </w:r>
      <w:r w:rsidR="007B316B">
        <w:rPr>
          <w:sz w:val="22"/>
          <w:szCs w:val="22"/>
        </w:rPr>
        <w:t xml:space="preserve"> Piteå museum </w:t>
      </w:r>
      <w:r w:rsidR="00EF7769">
        <w:rPr>
          <w:sz w:val="22"/>
          <w:szCs w:val="22"/>
        </w:rPr>
        <w:t xml:space="preserve">har ett viktigt uppdrag att bevara och sprida bygdens kulturhistoria. För att klara sitt uppdrag och </w:t>
      </w:r>
      <w:r w:rsidR="007B316B">
        <w:rPr>
          <w:sz w:val="22"/>
          <w:szCs w:val="22"/>
        </w:rPr>
        <w:t>stärka den pedagogiska verksamheten för barn och unga</w:t>
      </w:r>
      <w:r w:rsidR="00EF7769">
        <w:rPr>
          <w:sz w:val="22"/>
          <w:szCs w:val="22"/>
        </w:rPr>
        <w:t xml:space="preserve"> behö</w:t>
      </w:r>
      <w:r>
        <w:rPr>
          <w:sz w:val="22"/>
          <w:szCs w:val="22"/>
        </w:rPr>
        <w:t>vs ett utökat verksamhetsbidrag.</w:t>
      </w:r>
    </w:p>
    <w:p w:rsidR="00523BB0" w:rsidRDefault="00523BB0" w:rsidP="004E37F4">
      <w:pPr>
        <w:rPr>
          <w:sz w:val="22"/>
          <w:szCs w:val="22"/>
        </w:rPr>
      </w:pPr>
    </w:p>
    <w:p w:rsidR="00B16D44" w:rsidRDefault="00DE238E" w:rsidP="006531B9">
      <w:pPr>
        <w:rPr>
          <w:sz w:val="22"/>
          <w:szCs w:val="22"/>
        </w:rPr>
      </w:pPr>
      <w:r w:rsidRPr="007676BB">
        <w:rPr>
          <w:i/>
          <w:sz w:val="22"/>
          <w:szCs w:val="22"/>
        </w:rPr>
        <w:t>Lindbäcksstadion</w:t>
      </w:r>
      <w:r w:rsidR="007676BB">
        <w:rPr>
          <w:sz w:val="22"/>
          <w:szCs w:val="22"/>
        </w:rPr>
        <w:t xml:space="preserve"> är en viktig anläggning för Piteåborna och turistnäringen. De satsningar </w:t>
      </w:r>
      <w:r w:rsidR="007676BB" w:rsidRPr="00DE3DDD">
        <w:rPr>
          <w:sz w:val="22"/>
          <w:szCs w:val="22"/>
        </w:rPr>
        <w:t>som</w:t>
      </w:r>
      <w:r w:rsidR="007676BB">
        <w:rPr>
          <w:sz w:val="22"/>
          <w:szCs w:val="22"/>
        </w:rPr>
        <w:t xml:space="preserve"> genomförts har redan visat på ökad besöksfrekvens och högre </w:t>
      </w:r>
      <w:proofErr w:type="gramStart"/>
      <w:r w:rsidR="007676BB">
        <w:rPr>
          <w:sz w:val="22"/>
          <w:szCs w:val="22"/>
        </w:rPr>
        <w:t>nyttjandegrad</w:t>
      </w:r>
      <w:proofErr w:type="gramEnd"/>
      <w:r w:rsidR="007676BB">
        <w:rPr>
          <w:sz w:val="22"/>
          <w:szCs w:val="22"/>
        </w:rPr>
        <w:t>. Föreningslivet är viktig</w:t>
      </w:r>
      <w:r w:rsidR="00AC20F3">
        <w:rPr>
          <w:sz w:val="22"/>
          <w:szCs w:val="22"/>
        </w:rPr>
        <w:t>t</w:t>
      </w:r>
      <w:r w:rsidR="007676BB">
        <w:rPr>
          <w:sz w:val="22"/>
          <w:szCs w:val="22"/>
        </w:rPr>
        <w:t xml:space="preserve"> i utvecklingen men behöver resurser och stöd för att orka dr</w:t>
      </w:r>
      <w:r w:rsidR="00523BB0">
        <w:rPr>
          <w:sz w:val="22"/>
          <w:szCs w:val="22"/>
        </w:rPr>
        <w:t>iva verksamhet på anläggningen.</w:t>
      </w:r>
      <w:r w:rsidR="00847A3C">
        <w:rPr>
          <w:sz w:val="22"/>
          <w:szCs w:val="22"/>
        </w:rPr>
        <w:t xml:space="preserve"> Satsningar i form av ny belysning i backen och längdspåren är viktiga för att kunna genomföra skid SM 2016 och ligger inte inom ramen för visionsarbetet som </w:t>
      </w:r>
      <w:r w:rsidR="00847A3C" w:rsidRPr="00831C85">
        <w:rPr>
          <w:sz w:val="22"/>
          <w:szCs w:val="22"/>
        </w:rPr>
        <w:t>pågår (</w:t>
      </w:r>
      <w:r w:rsidR="00831C85" w:rsidRPr="00831C85">
        <w:rPr>
          <w:sz w:val="22"/>
          <w:szCs w:val="22"/>
        </w:rPr>
        <w:t>bil 2.15</w:t>
      </w:r>
      <w:r w:rsidR="00847A3C" w:rsidRPr="00831C85">
        <w:rPr>
          <w:sz w:val="22"/>
          <w:szCs w:val="22"/>
        </w:rPr>
        <w:t>).</w:t>
      </w:r>
      <w:r w:rsidR="00847A3C">
        <w:rPr>
          <w:sz w:val="22"/>
          <w:szCs w:val="22"/>
        </w:rPr>
        <w:t xml:space="preserve"> </w:t>
      </w:r>
      <w:r w:rsidR="008D71EC" w:rsidRPr="003F21A4">
        <w:rPr>
          <w:color w:val="000000"/>
          <w:sz w:val="22"/>
          <w:szCs w:val="22"/>
        </w:rPr>
        <w:t xml:space="preserve">En god folkhälsa är en viktig förutsättning för samhällsutveckling och något som alla verksamheter ska bidra till. </w:t>
      </w:r>
      <w:r w:rsidR="00B16D44" w:rsidRPr="00B16D44">
        <w:rPr>
          <w:sz w:val="22"/>
          <w:szCs w:val="22"/>
        </w:rPr>
        <w:t xml:space="preserve">Generellt sett ökar intresset för friluftsliv och andra utomhusaktiviteter som </w:t>
      </w:r>
      <w:r w:rsidR="00B16D44">
        <w:rPr>
          <w:sz w:val="22"/>
          <w:szCs w:val="22"/>
        </w:rPr>
        <w:t xml:space="preserve">vandring, </w:t>
      </w:r>
      <w:r w:rsidR="00B16D44" w:rsidRPr="00B16D44">
        <w:rPr>
          <w:sz w:val="22"/>
          <w:szCs w:val="22"/>
        </w:rPr>
        <w:t>löpning och skidåkning. Detta är något som märks bla genom mätningar av passeringar på Grisberget, isbanan vid Norrstrand och skidspåren på Lindbäcksstadion.</w:t>
      </w:r>
      <w:r w:rsidR="00B16D44">
        <w:rPr>
          <w:sz w:val="22"/>
          <w:szCs w:val="22"/>
        </w:rPr>
        <w:t xml:space="preserve"> </w:t>
      </w:r>
      <w:r w:rsidR="00B16D44">
        <w:rPr>
          <w:color w:val="000000"/>
          <w:sz w:val="22"/>
          <w:szCs w:val="22"/>
        </w:rPr>
        <w:t>Folkhälso</w:t>
      </w:r>
      <w:r w:rsidR="00831C85">
        <w:rPr>
          <w:color w:val="000000"/>
          <w:sz w:val="22"/>
          <w:szCs w:val="22"/>
        </w:rPr>
        <w:t xml:space="preserve">arbetet vänder sig till alla och </w:t>
      </w:r>
      <w:r w:rsidR="00B16D44">
        <w:rPr>
          <w:rFonts w:eastAsiaTheme="minorHAnsi"/>
          <w:sz w:val="22"/>
          <w:szCs w:val="22"/>
          <w:lang w:eastAsia="en-US"/>
        </w:rPr>
        <w:t xml:space="preserve">tillgänglighet till </w:t>
      </w:r>
      <w:r w:rsidR="00B16D44" w:rsidRPr="00B16D44">
        <w:rPr>
          <w:rFonts w:eastAsiaTheme="minorHAnsi"/>
          <w:sz w:val="22"/>
          <w:szCs w:val="22"/>
          <w:lang w:eastAsia="en-US"/>
        </w:rPr>
        <w:t xml:space="preserve">friluftsområden, skidspår och vandringsleder är viktigt </w:t>
      </w:r>
      <w:r w:rsidR="00B16D44" w:rsidRPr="00B16D44">
        <w:rPr>
          <w:color w:val="000000"/>
          <w:sz w:val="22"/>
          <w:szCs w:val="22"/>
        </w:rPr>
        <w:t>för att nå måle</w:t>
      </w:r>
      <w:r w:rsidR="00DB2728">
        <w:rPr>
          <w:color w:val="000000"/>
          <w:sz w:val="22"/>
          <w:szCs w:val="22"/>
        </w:rPr>
        <w:t>n</w:t>
      </w:r>
      <w:r w:rsidR="00B16D44" w:rsidRPr="00B16D44">
        <w:rPr>
          <w:color w:val="000000"/>
          <w:sz w:val="22"/>
          <w:szCs w:val="22"/>
        </w:rPr>
        <w:t xml:space="preserve"> </w:t>
      </w:r>
      <w:r w:rsidR="00B16D44" w:rsidRPr="00CB511C">
        <w:rPr>
          <w:color w:val="000000"/>
          <w:sz w:val="22"/>
          <w:szCs w:val="22"/>
        </w:rPr>
        <w:t>”</w:t>
      </w:r>
      <w:r w:rsidR="00B16D44" w:rsidRPr="00CB511C">
        <w:rPr>
          <w:rFonts w:eastAsiaTheme="minorHAnsi"/>
          <w:sz w:val="22"/>
          <w:szCs w:val="22"/>
          <w:lang w:eastAsia="en-US"/>
        </w:rPr>
        <w:t>samhällsge</w:t>
      </w:r>
      <w:r w:rsidR="00DB2728" w:rsidRPr="00CB511C">
        <w:rPr>
          <w:rFonts w:eastAsiaTheme="minorHAnsi"/>
          <w:sz w:val="22"/>
          <w:szCs w:val="22"/>
          <w:lang w:eastAsia="en-US"/>
        </w:rPr>
        <w:t>menskap med</w:t>
      </w:r>
      <w:r w:rsidR="00DB2728" w:rsidRPr="00BF6B35">
        <w:rPr>
          <w:rFonts w:eastAsiaTheme="minorHAnsi"/>
          <w:b/>
          <w:sz w:val="22"/>
          <w:szCs w:val="22"/>
          <w:lang w:eastAsia="en-US"/>
        </w:rPr>
        <w:t xml:space="preserve"> mångfald som grund</w:t>
      </w:r>
      <w:r w:rsidR="00DB2728" w:rsidRPr="00CB511C">
        <w:rPr>
          <w:rFonts w:eastAsiaTheme="minorHAnsi"/>
          <w:sz w:val="22"/>
          <w:szCs w:val="22"/>
          <w:lang w:eastAsia="en-US"/>
        </w:rPr>
        <w:t>”</w:t>
      </w:r>
      <w:r w:rsidR="00DB2728">
        <w:rPr>
          <w:rFonts w:eastAsiaTheme="minorHAnsi"/>
          <w:sz w:val="22"/>
          <w:szCs w:val="22"/>
          <w:lang w:eastAsia="en-US"/>
        </w:rPr>
        <w:t xml:space="preserve"> samt </w:t>
      </w:r>
      <w:r w:rsidR="00DB2728" w:rsidRPr="00BF6B35">
        <w:rPr>
          <w:rFonts w:eastAsiaTheme="minorHAnsi"/>
          <w:b/>
          <w:sz w:val="22"/>
          <w:szCs w:val="22"/>
          <w:lang w:eastAsia="en-US"/>
        </w:rPr>
        <w:t>”</w:t>
      </w:r>
      <w:r w:rsidR="00DB2728" w:rsidRPr="00CB511C">
        <w:rPr>
          <w:rFonts w:eastAsiaTheme="minorHAnsi"/>
          <w:sz w:val="22"/>
          <w:szCs w:val="22"/>
          <w:lang w:eastAsia="en-US"/>
        </w:rPr>
        <w:t>s</w:t>
      </w:r>
      <w:r w:rsidR="00DB2728" w:rsidRPr="00CB511C">
        <w:rPr>
          <w:sz w:val="22"/>
          <w:szCs w:val="22"/>
        </w:rPr>
        <w:t>ervice och bemötande utformas</w:t>
      </w:r>
      <w:r w:rsidR="00DB2728" w:rsidRPr="00BF6B35">
        <w:rPr>
          <w:b/>
          <w:sz w:val="22"/>
          <w:szCs w:val="22"/>
        </w:rPr>
        <w:t xml:space="preserve"> jämställt”</w:t>
      </w:r>
      <w:r w:rsidR="00847A3C">
        <w:rPr>
          <w:sz w:val="22"/>
          <w:szCs w:val="22"/>
        </w:rPr>
        <w:t xml:space="preserve"> </w:t>
      </w:r>
      <w:r w:rsidR="00847A3C" w:rsidRPr="00831C85">
        <w:rPr>
          <w:sz w:val="22"/>
          <w:szCs w:val="22"/>
        </w:rPr>
        <w:t>(bil</w:t>
      </w:r>
      <w:r w:rsidR="00BF6B35" w:rsidRPr="00831C85">
        <w:rPr>
          <w:sz w:val="22"/>
          <w:szCs w:val="22"/>
        </w:rPr>
        <w:t xml:space="preserve"> </w:t>
      </w:r>
      <w:r w:rsidR="00831C85" w:rsidRPr="00831C85">
        <w:rPr>
          <w:sz w:val="22"/>
          <w:szCs w:val="22"/>
        </w:rPr>
        <w:t>2.4</w:t>
      </w:r>
      <w:r w:rsidR="00847A3C" w:rsidRPr="00831C85">
        <w:rPr>
          <w:sz w:val="22"/>
          <w:szCs w:val="22"/>
        </w:rPr>
        <w:t>)</w:t>
      </w:r>
    </w:p>
    <w:p w:rsidR="00027903" w:rsidRPr="00B16D44" w:rsidRDefault="00027903" w:rsidP="006531B9">
      <w:pPr>
        <w:rPr>
          <w:rFonts w:eastAsiaTheme="minorHAnsi"/>
          <w:sz w:val="22"/>
          <w:szCs w:val="22"/>
          <w:lang w:eastAsia="en-US"/>
        </w:rPr>
      </w:pPr>
    </w:p>
    <w:p w:rsidR="006531B9" w:rsidRDefault="005E328E" w:rsidP="006531B9">
      <w:pPr>
        <w:rPr>
          <w:sz w:val="22"/>
          <w:szCs w:val="22"/>
        </w:rPr>
      </w:pPr>
      <w:r w:rsidRPr="00B16D44">
        <w:rPr>
          <w:sz w:val="22"/>
          <w:szCs w:val="22"/>
        </w:rPr>
        <w:t xml:space="preserve">En långsiktig satsning </w:t>
      </w:r>
      <w:r w:rsidR="0046196E" w:rsidRPr="00B16D44">
        <w:rPr>
          <w:sz w:val="22"/>
          <w:szCs w:val="22"/>
        </w:rPr>
        <w:t xml:space="preserve">utifrån </w:t>
      </w:r>
      <w:r w:rsidR="0046196E" w:rsidRPr="00B16D44">
        <w:rPr>
          <w:i/>
          <w:sz w:val="22"/>
          <w:szCs w:val="22"/>
        </w:rPr>
        <w:t>lekparksplanen</w:t>
      </w:r>
      <w:r w:rsidR="0046196E" w:rsidRPr="00B16D44">
        <w:rPr>
          <w:sz w:val="22"/>
          <w:szCs w:val="22"/>
        </w:rPr>
        <w:t xml:space="preserve"> </w:t>
      </w:r>
      <w:r w:rsidRPr="00B16D44">
        <w:rPr>
          <w:sz w:val="22"/>
          <w:szCs w:val="22"/>
        </w:rPr>
        <w:t>på lekmiljöer ger en bra livsmiljö för barn</w:t>
      </w:r>
      <w:r w:rsidR="0046196E">
        <w:rPr>
          <w:sz w:val="22"/>
          <w:szCs w:val="22"/>
        </w:rPr>
        <w:t xml:space="preserve"> och </w:t>
      </w:r>
      <w:r w:rsidRPr="00CF6D98">
        <w:rPr>
          <w:sz w:val="22"/>
          <w:szCs w:val="22"/>
        </w:rPr>
        <w:t>ung</w:t>
      </w:r>
      <w:r w:rsidR="0046196E">
        <w:rPr>
          <w:sz w:val="22"/>
          <w:szCs w:val="22"/>
        </w:rPr>
        <w:t>a</w:t>
      </w:r>
      <w:r>
        <w:rPr>
          <w:sz w:val="22"/>
          <w:szCs w:val="22"/>
        </w:rPr>
        <w:t>.</w:t>
      </w:r>
      <w:r w:rsidR="0046196E">
        <w:rPr>
          <w:sz w:val="22"/>
          <w:szCs w:val="22"/>
        </w:rPr>
        <w:t xml:space="preserve"> Arbetet har påbörjats med renovering av </w:t>
      </w:r>
      <w:r w:rsidR="00601371">
        <w:rPr>
          <w:sz w:val="22"/>
          <w:szCs w:val="22"/>
        </w:rPr>
        <w:t>två</w:t>
      </w:r>
      <w:r w:rsidR="0046196E">
        <w:rPr>
          <w:sz w:val="22"/>
          <w:szCs w:val="22"/>
        </w:rPr>
        <w:t xml:space="preserve"> lekparker per år och bör fortsätta för att skapa lekmiljöer inom alla delar av kommunen. </w:t>
      </w:r>
      <w:r w:rsidR="004E37F4" w:rsidRPr="004E37F4">
        <w:rPr>
          <w:rFonts w:eastAsiaTheme="minorHAnsi"/>
          <w:sz w:val="22"/>
          <w:szCs w:val="22"/>
          <w:lang w:eastAsia="en-US"/>
        </w:rPr>
        <w:t>Genom att ta vara på barnens idéer om en god lekmiljö, vilket ske</w:t>
      </w:r>
      <w:r w:rsidR="004E37F4">
        <w:rPr>
          <w:rFonts w:eastAsiaTheme="minorHAnsi"/>
          <w:sz w:val="22"/>
          <w:szCs w:val="22"/>
          <w:lang w:eastAsia="en-US"/>
        </w:rPr>
        <w:t>r</w:t>
      </w:r>
      <w:r w:rsidR="004E37F4" w:rsidRPr="004E37F4">
        <w:rPr>
          <w:rFonts w:eastAsiaTheme="minorHAnsi"/>
          <w:sz w:val="22"/>
          <w:szCs w:val="22"/>
          <w:lang w:eastAsia="en-US"/>
        </w:rPr>
        <w:t xml:space="preserve"> genom teckningar</w:t>
      </w:r>
      <w:r w:rsidR="004E37F4">
        <w:rPr>
          <w:rFonts w:eastAsiaTheme="minorHAnsi"/>
          <w:sz w:val="22"/>
          <w:szCs w:val="22"/>
          <w:lang w:eastAsia="en-US"/>
        </w:rPr>
        <w:t xml:space="preserve"> </w:t>
      </w:r>
      <w:r w:rsidR="004E37F4" w:rsidRPr="004E37F4">
        <w:rPr>
          <w:rFonts w:eastAsiaTheme="minorHAnsi"/>
          <w:sz w:val="22"/>
          <w:szCs w:val="22"/>
          <w:lang w:eastAsia="en-US"/>
        </w:rPr>
        <w:t>och samtal, så bygg</w:t>
      </w:r>
      <w:r w:rsidR="004E37F4">
        <w:rPr>
          <w:rFonts w:eastAsiaTheme="minorHAnsi"/>
          <w:sz w:val="22"/>
          <w:szCs w:val="22"/>
          <w:lang w:eastAsia="en-US"/>
        </w:rPr>
        <w:t>s</w:t>
      </w:r>
      <w:r w:rsidR="004E37F4" w:rsidRPr="004E37F4">
        <w:rPr>
          <w:rFonts w:eastAsiaTheme="minorHAnsi"/>
          <w:sz w:val="22"/>
          <w:szCs w:val="22"/>
          <w:lang w:eastAsia="en-US"/>
        </w:rPr>
        <w:t xml:space="preserve"> miljöer där barnen vill </w:t>
      </w:r>
      <w:r w:rsidR="004E37F4" w:rsidRPr="00831C85">
        <w:rPr>
          <w:rFonts w:eastAsiaTheme="minorHAnsi"/>
          <w:sz w:val="22"/>
          <w:szCs w:val="22"/>
          <w:lang w:eastAsia="en-US"/>
        </w:rPr>
        <w:t>vara</w:t>
      </w:r>
      <w:r w:rsidR="00724B20" w:rsidRPr="00831C85">
        <w:rPr>
          <w:rFonts w:eastAsiaTheme="minorHAnsi"/>
          <w:sz w:val="22"/>
          <w:szCs w:val="22"/>
          <w:lang w:eastAsia="en-US"/>
        </w:rPr>
        <w:t xml:space="preserve"> </w:t>
      </w:r>
      <w:r w:rsidR="00DE3DDD" w:rsidRPr="00831C85">
        <w:rPr>
          <w:rFonts w:eastAsiaTheme="minorHAnsi"/>
          <w:sz w:val="22"/>
          <w:szCs w:val="22"/>
          <w:lang w:eastAsia="en-US"/>
        </w:rPr>
        <w:t>(</w:t>
      </w:r>
      <w:r w:rsidR="000D353B" w:rsidRPr="00831C85">
        <w:rPr>
          <w:rFonts w:eastAsiaTheme="minorHAnsi"/>
          <w:sz w:val="22"/>
          <w:szCs w:val="22"/>
          <w:lang w:eastAsia="en-US"/>
        </w:rPr>
        <w:t xml:space="preserve">bil </w:t>
      </w:r>
      <w:r w:rsidR="00831C85" w:rsidRPr="00831C85">
        <w:rPr>
          <w:rFonts w:eastAsiaTheme="minorHAnsi"/>
          <w:sz w:val="22"/>
          <w:szCs w:val="22"/>
          <w:lang w:eastAsia="en-US"/>
        </w:rPr>
        <w:t>2.2</w:t>
      </w:r>
      <w:r w:rsidR="00DE3DDD" w:rsidRPr="00831C85">
        <w:rPr>
          <w:sz w:val="22"/>
          <w:szCs w:val="22"/>
        </w:rPr>
        <w:t>) vilket</w:t>
      </w:r>
      <w:r w:rsidR="00DE3DDD">
        <w:rPr>
          <w:sz w:val="22"/>
          <w:szCs w:val="22"/>
        </w:rPr>
        <w:t xml:space="preserve"> stödjer målet </w:t>
      </w:r>
      <w:r w:rsidR="00DE3DDD" w:rsidRPr="00CB511C">
        <w:rPr>
          <w:sz w:val="22"/>
          <w:szCs w:val="22"/>
        </w:rPr>
        <w:t>”</w:t>
      </w:r>
      <w:r w:rsidR="004E37F4" w:rsidRPr="00CB511C">
        <w:rPr>
          <w:sz w:val="22"/>
          <w:szCs w:val="22"/>
        </w:rPr>
        <w:t>Barn och unga ges förutsättningar till</w:t>
      </w:r>
      <w:r w:rsidR="004E37F4" w:rsidRPr="00BF6B35">
        <w:rPr>
          <w:b/>
          <w:sz w:val="22"/>
          <w:szCs w:val="22"/>
        </w:rPr>
        <w:t xml:space="preserve"> in</w:t>
      </w:r>
      <w:r w:rsidR="00DE3DDD" w:rsidRPr="00BF6B35">
        <w:rPr>
          <w:b/>
          <w:sz w:val="22"/>
          <w:szCs w:val="22"/>
        </w:rPr>
        <w:t xml:space="preserve">flytande </w:t>
      </w:r>
      <w:r w:rsidR="00DE3DDD" w:rsidRPr="00CB511C">
        <w:rPr>
          <w:sz w:val="22"/>
          <w:szCs w:val="22"/>
        </w:rPr>
        <w:t>i frågor som berör dem”.</w:t>
      </w:r>
      <w:r w:rsidR="00371D24">
        <w:rPr>
          <w:sz w:val="22"/>
          <w:szCs w:val="22"/>
        </w:rPr>
        <w:t xml:space="preserve"> </w:t>
      </w:r>
      <w:r w:rsidR="00DE3DDD">
        <w:rPr>
          <w:sz w:val="22"/>
          <w:szCs w:val="22"/>
        </w:rPr>
        <w:t>M</w:t>
      </w:r>
      <w:r w:rsidR="0046196E" w:rsidRPr="0046196E">
        <w:rPr>
          <w:rFonts w:eastAsiaTheme="minorHAnsi"/>
          <w:sz w:val="22"/>
          <w:szCs w:val="22"/>
          <w:lang w:eastAsia="en-US"/>
        </w:rPr>
        <w:t>ånga av Piteås parker kan förbättras och utvecklas rörande tillgänglighet och trygghet samt även</w:t>
      </w:r>
      <w:r w:rsidR="0042239E">
        <w:rPr>
          <w:rFonts w:eastAsiaTheme="minorHAnsi"/>
          <w:sz w:val="22"/>
          <w:szCs w:val="22"/>
          <w:lang w:eastAsia="en-US"/>
        </w:rPr>
        <w:t xml:space="preserve"> </w:t>
      </w:r>
      <w:r w:rsidR="0046196E" w:rsidRPr="0046196E">
        <w:rPr>
          <w:rFonts w:eastAsiaTheme="minorHAnsi"/>
          <w:sz w:val="22"/>
          <w:szCs w:val="22"/>
          <w:lang w:eastAsia="en-US"/>
        </w:rPr>
        <w:t xml:space="preserve">för att estetiskt </w:t>
      </w:r>
      <w:r w:rsidR="00D458C1">
        <w:rPr>
          <w:rFonts w:eastAsiaTheme="minorHAnsi"/>
          <w:sz w:val="22"/>
          <w:szCs w:val="22"/>
          <w:lang w:eastAsia="en-US"/>
        </w:rPr>
        <w:t xml:space="preserve">bidra </w:t>
      </w:r>
      <w:r w:rsidR="0046196E" w:rsidRPr="0046196E">
        <w:rPr>
          <w:rFonts w:eastAsiaTheme="minorHAnsi"/>
          <w:sz w:val="22"/>
          <w:szCs w:val="22"/>
          <w:lang w:eastAsia="en-US"/>
        </w:rPr>
        <w:t>till en inbjudande stadsbild, en förbättrad livsmiljö och en attraktivare</w:t>
      </w:r>
      <w:r w:rsidR="0046196E">
        <w:rPr>
          <w:rFonts w:eastAsiaTheme="minorHAnsi"/>
          <w:sz w:val="22"/>
          <w:szCs w:val="22"/>
          <w:lang w:eastAsia="en-US"/>
        </w:rPr>
        <w:t xml:space="preserve"> </w:t>
      </w:r>
      <w:r w:rsidR="0046196E" w:rsidRPr="0046196E">
        <w:rPr>
          <w:rFonts w:eastAsiaTheme="minorHAnsi"/>
          <w:sz w:val="22"/>
          <w:szCs w:val="22"/>
          <w:lang w:eastAsia="en-US"/>
        </w:rPr>
        <w:t>boendemiljö.</w:t>
      </w:r>
      <w:r w:rsidR="00371D24">
        <w:rPr>
          <w:rFonts w:eastAsiaTheme="minorHAnsi"/>
          <w:sz w:val="22"/>
          <w:szCs w:val="22"/>
          <w:lang w:eastAsia="en-US"/>
        </w:rPr>
        <w:t xml:space="preserve"> </w:t>
      </w:r>
      <w:r w:rsidR="00BF6B35">
        <w:rPr>
          <w:rFonts w:eastAsiaTheme="minorHAnsi"/>
          <w:sz w:val="22"/>
          <w:szCs w:val="22"/>
          <w:lang w:eastAsia="en-US"/>
        </w:rPr>
        <w:t>F</w:t>
      </w:r>
      <w:r w:rsidR="00371D24">
        <w:rPr>
          <w:rFonts w:eastAsiaTheme="minorHAnsi"/>
          <w:sz w:val="22"/>
          <w:szCs w:val="22"/>
          <w:lang w:eastAsia="en-US"/>
        </w:rPr>
        <w:t xml:space="preserve">em olika parker </w:t>
      </w:r>
      <w:r w:rsidR="00BF6B35">
        <w:rPr>
          <w:rFonts w:eastAsiaTheme="minorHAnsi"/>
          <w:sz w:val="22"/>
          <w:szCs w:val="22"/>
          <w:lang w:eastAsia="en-US"/>
        </w:rPr>
        <w:t xml:space="preserve">är renoverade utifrån Parkplan del 1. Det fortsatta arbetet beskrivs i </w:t>
      </w:r>
      <w:r w:rsidR="0046196E" w:rsidRPr="004E37F4">
        <w:rPr>
          <w:rFonts w:eastAsiaTheme="minorHAnsi"/>
          <w:i/>
          <w:sz w:val="22"/>
          <w:szCs w:val="22"/>
          <w:lang w:eastAsia="en-US"/>
        </w:rPr>
        <w:t>Parkplan del 2</w:t>
      </w:r>
      <w:r w:rsidR="00371D24">
        <w:rPr>
          <w:rFonts w:eastAsiaTheme="minorHAnsi"/>
          <w:sz w:val="22"/>
          <w:szCs w:val="22"/>
          <w:lang w:eastAsia="en-US"/>
        </w:rPr>
        <w:t xml:space="preserve"> </w:t>
      </w:r>
      <w:r w:rsidR="00BF6B35">
        <w:rPr>
          <w:rFonts w:eastAsiaTheme="minorHAnsi"/>
          <w:sz w:val="22"/>
          <w:szCs w:val="22"/>
          <w:lang w:eastAsia="en-US"/>
        </w:rPr>
        <w:t xml:space="preserve">där utveckling av </w:t>
      </w:r>
      <w:r w:rsidR="00DC4D99">
        <w:rPr>
          <w:rFonts w:eastAsiaTheme="minorHAnsi"/>
          <w:sz w:val="22"/>
          <w:szCs w:val="22"/>
          <w:lang w:eastAsia="en-US"/>
        </w:rPr>
        <w:t>fem nya</w:t>
      </w:r>
      <w:r w:rsidR="00BF6B35">
        <w:rPr>
          <w:rFonts w:eastAsiaTheme="minorHAnsi"/>
          <w:sz w:val="22"/>
          <w:szCs w:val="22"/>
          <w:lang w:eastAsia="en-US"/>
        </w:rPr>
        <w:t xml:space="preserve"> </w:t>
      </w:r>
      <w:r w:rsidR="00DC4D99">
        <w:rPr>
          <w:rFonts w:eastAsiaTheme="minorHAnsi"/>
          <w:sz w:val="22"/>
          <w:szCs w:val="22"/>
          <w:lang w:eastAsia="en-US"/>
        </w:rPr>
        <w:t xml:space="preserve">parker </w:t>
      </w:r>
      <w:r w:rsidR="00BF6B35">
        <w:rPr>
          <w:rFonts w:eastAsiaTheme="minorHAnsi"/>
          <w:sz w:val="22"/>
          <w:szCs w:val="22"/>
          <w:lang w:eastAsia="en-US"/>
        </w:rPr>
        <w:t>beskrivs</w:t>
      </w:r>
      <w:r w:rsidR="00ED5740">
        <w:rPr>
          <w:rFonts w:eastAsiaTheme="minorHAnsi"/>
          <w:sz w:val="22"/>
          <w:szCs w:val="22"/>
          <w:lang w:eastAsia="en-US"/>
        </w:rPr>
        <w:t xml:space="preserve">. Planen visar </w:t>
      </w:r>
      <w:r w:rsidR="0046196E">
        <w:rPr>
          <w:rFonts w:eastAsiaTheme="minorHAnsi"/>
          <w:sz w:val="22"/>
          <w:szCs w:val="22"/>
          <w:lang w:eastAsia="en-US"/>
        </w:rPr>
        <w:t>det fortsatta arbetets betydelse för Piteås attraktivitet</w:t>
      </w:r>
      <w:r w:rsidR="00DE3DDD">
        <w:rPr>
          <w:rFonts w:eastAsiaTheme="minorHAnsi"/>
          <w:sz w:val="22"/>
          <w:szCs w:val="22"/>
          <w:lang w:eastAsia="en-US"/>
        </w:rPr>
        <w:t xml:space="preserve"> och leder mot målet att</w:t>
      </w:r>
      <w:r w:rsidR="00B70736" w:rsidRPr="00DE3DDD">
        <w:rPr>
          <w:sz w:val="22"/>
          <w:szCs w:val="22"/>
        </w:rPr>
        <w:t xml:space="preserve"> </w:t>
      </w:r>
      <w:r w:rsidR="00DE3DDD" w:rsidRPr="00CB511C">
        <w:rPr>
          <w:sz w:val="22"/>
          <w:szCs w:val="22"/>
        </w:rPr>
        <w:t>”</w:t>
      </w:r>
      <w:r w:rsidR="00B70736" w:rsidRPr="00CB511C">
        <w:rPr>
          <w:sz w:val="22"/>
          <w:szCs w:val="22"/>
        </w:rPr>
        <w:t>Piteå ska vara</w:t>
      </w:r>
      <w:r w:rsidR="00B70736" w:rsidRPr="00BF6B35">
        <w:rPr>
          <w:b/>
          <w:sz w:val="22"/>
          <w:szCs w:val="22"/>
        </w:rPr>
        <w:t xml:space="preserve"> tryggt och tillgängligt </w:t>
      </w:r>
      <w:r w:rsidR="00B70736" w:rsidRPr="00CB511C">
        <w:rPr>
          <w:sz w:val="22"/>
          <w:szCs w:val="22"/>
        </w:rPr>
        <w:t>för alla</w:t>
      </w:r>
      <w:r w:rsidR="00DE3DDD" w:rsidRPr="00831C85">
        <w:rPr>
          <w:sz w:val="22"/>
          <w:szCs w:val="22"/>
        </w:rPr>
        <w:t>”</w:t>
      </w:r>
      <w:r w:rsidR="000D353B" w:rsidRPr="00831C85">
        <w:rPr>
          <w:sz w:val="22"/>
          <w:szCs w:val="22"/>
        </w:rPr>
        <w:t xml:space="preserve"> (</w:t>
      </w:r>
      <w:r w:rsidR="00FF472F" w:rsidRPr="00831C85">
        <w:rPr>
          <w:sz w:val="22"/>
          <w:szCs w:val="22"/>
        </w:rPr>
        <w:t xml:space="preserve">bil </w:t>
      </w:r>
      <w:r w:rsidR="00831C85" w:rsidRPr="00831C85">
        <w:rPr>
          <w:sz w:val="22"/>
          <w:szCs w:val="22"/>
        </w:rPr>
        <w:t>2.3</w:t>
      </w:r>
      <w:r w:rsidR="000D353B" w:rsidRPr="00831C85">
        <w:rPr>
          <w:sz w:val="22"/>
          <w:szCs w:val="22"/>
        </w:rPr>
        <w:t>).</w:t>
      </w:r>
      <w:r w:rsidR="00DE3DDD" w:rsidRPr="00831C85">
        <w:rPr>
          <w:sz w:val="22"/>
          <w:szCs w:val="22"/>
        </w:rPr>
        <w:t xml:space="preserve"> </w:t>
      </w:r>
      <w:r w:rsidR="004E37F4" w:rsidRPr="00831C85">
        <w:rPr>
          <w:rFonts w:eastAsiaTheme="minorHAnsi"/>
          <w:sz w:val="22"/>
          <w:szCs w:val="22"/>
          <w:lang w:eastAsia="en-US"/>
        </w:rPr>
        <w:t>För att</w:t>
      </w:r>
      <w:r w:rsidR="00371D24">
        <w:rPr>
          <w:rFonts w:eastAsiaTheme="minorHAnsi"/>
          <w:sz w:val="22"/>
          <w:szCs w:val="22"/>
          <w:lang w:eastAsia="en-US"/>
        </w:rPr>
        <w:t xml:space="preserve"> </w:t>
      </w:r>
      <w:r w:rsidR="004E37F4" w:rsidRPr="004E37F4">
        <w:rPr>
          <w:rFonts w:eastAsiaTheme="minorHAnsi"/>
          <w:sz w:val="22"/>
          <w:szCs w:val="22"/>
          <w:lang w:eastAsia="en-US"/>
        </w:rPr>
        <w:t>invånarantal</w:t>
      </w:r>
      <w:r w:rsidR="00371D24">
        <w:rPr>
          <w:rFonts w:eastAsiaTheme="minorHAnsi"/>
          <w:sz w:val="22"/>
          <w:szCs w:val="22"/>
          <w:lang w:eastAsia="en-US"/>
        </w:rPr>
        <w:t>et</w:t>
      </w:r>
      <w:r w:rsidR="004E37F4" w:rsidRPr="004E37F4">
        <w:rPr>
          <w:rFonts w:eastAsiaTheme="minorHAnsi"/>
          <w:sz w:val="22"/>
          <w:szCs w:val="22"/>
          <w:lang w:eastAsia="en-US"/>
        </w:rPr>
        <w:t xml:space="preserve"> ska öka krävs att staden upplevs som attraktiv</w:t>
      </w:r>
      <w:r w:rsidR="004E37F4">
        <w:rPr>
          <w:rFonts w:eastAsiaTheme="minorHAnsi"/>
          <w:sz w:val="22"/>
          <w:szCs w:val="22"/>
          <w:lang w:eastAsia="en-US"/>
        </w:rPr>
        <w:t xml:space="preserve"> </w:t>
      </w:r>
      <w:r w:rsidR="004E37F4" w:rsidRPr="004E37F4">
        <w:rPr>
          <w:rFonts w:eastAsiaTheme="minorHAnsi"/>
          <w:sz w:val="22"/>
          <w:szCs w:val="22"/>
          <w:lang w:eastAsia="en-US"/>
        </w:rPr>
        <w:t xml:space="preserve">under hela året. </w:t>
      </w:r>
      <w:r w:rsidR="004E37F4" w:rsidRPr="00B70736">
        <w:rPr>
          <w:rFonts w:eastAsiaTheme="minorHAnsi"/>
          <w:sz w:val="22"/>
          <w:szCs w:val="22"/>
          <w:lang w:eastAsia="en-US"/>
        </w:rPr>
        <w:t>Sommartid är Piteå en relativt känd stad fylld av människor, liv och aktiviteter. Vintertid för vår stad en mer undanskymd roll</w:t>
      </w:r>
      <w:r w:rsidR="00DC4D99">
        <w:rPr>
          <w:rFonts w:eastAsiaTheme="minorHAnsi"/>
          <w:sz w:val="22"/>
          <w:szCs w:val="22"/>
          <w:lang w:eastAsia="en-US"/>
        </w:rPr>
        <w:t xml:space="preserve"> vilket vi kan ändra på</w:t>
      </w:r>
      <w:r w:rsidR="004E37F4" w:rsidRPr="00B70736">
        <w:rPr>
          <w:rFonts w:eastAsiaTheme="minorHAnsi"/>
          <w:sz w:val="22"/>
          <w:szCs w:val="22"/>
          <w:lang w:eastAsia="en-US"/>
        </w:rPr>
        <w:t xml:space="preserve">. Låt oss rikta </w:t>
      </w:r>
      <w:r w:rsidR="004E37F4" w:rsidRPr="00B70736">
        <w:rPr>
          <w:rFonts w:eastAsiaTheme="minorHAnsi"/>
          <w:i/>
          <w:sz w:val="22"/>
          <w:szCs w:val="22"/>
          <w:lang w:eastAsia="en-US"/>
        </w:rPr>
        <w:t>allt ljus på Piteå</w:t>
      </w:r>
      <w:r w:rsidR="00DE3DDD">
        <w:rPr>
          <w:rFonts w:eastAsiaTheme="minorHAnsi"/>
          <w:i/>
          <w:sz w:val="22"/>
          <w:szCs w:val="22"/>
          <w:lang w:eastAsia="en-US"/>
        </w:rPr>
        <w:t xml:space="preserve"> </w:t>
      </w:r>
      <w:r w:rsidR="00DE3DDD" w:rsidRPr="00831C85">
        <w:rPr>
          <w:rFonts w:eastAsiaTheme="minorHAnsi"/>
          <w:sz w:val="22"/>
          <w:szCs w:val="22"/>
          <w:lang w:eastAsia="en-US"/>
        </w:rPr>
        <w:t>(</w:t>
      </w:r>
      <w:r w:rsidR="000D353B" w:rsidRPr="00831C85">
        <w:rPr>
          <w:rFonts w:eastAsiaTheme="minorHAnsi"/>
          <w:sz w:val="22"/>
          <w:szCs w:val="22"/>
          <w:lang w:eastAsia="en-US"/>
        </w:rPr>
        <w:t xml:space="preserve">bil </w:t>
      </w:r>
      <w:r w:rsidR="00831C85" w:rsidRPr="00831C85">
        <w:rPr>
          <w:rFonts w:eastAsiaTheme="minorHAnsi"/>
          <w:sz w:val="22"/>
          <w:szCs w:val="22"/>
          <w:lang w:eastAsia="en-US"/>
        </w:rPr>
        <w:t>2.17</w:t>
      </w:r>
      <w:r w:rsidR="00D56787" w:rsidRPr="00831C85">
        <w:rPr>
          <w:rFonts w:eastAsiaTheme="minorHAnsi"/>
          <w:sz w:val="22"/>
          <w:szCs w:val="22"/>
          <w:lang w:eastAsia="en-US"/>
        </w:rPr>
        <w:t>)</w:t>
      </w:r>
      <w:r w:rsidR="00ED453C" w:rsidRPr="00831C85">
        <w:rPr>
          <w:rFonts w:eastAsiaTheme="minorHAnsi"/>
          <w:sz w:val="22"/>
          <w:szCs w:val="22"/>
          <w:lang w:eastAsia="en-US"/>
        </w:rPr>
        <w:t>.</w:t>
      </w:r>
      <w:r w:rsidR="00DE3DDD" w:rsidRPr="00831C85">
        <w:rPr>
          <w:rFonts w:eastAsiaTheme="minorHAnsi"/>
          <w:sz w:val="22"/>
          <w:szCs w:val="22"/>
          <w:lang w:eastAsia="en-US"/>
        </w:rPr>
        <w:t xml:space="preserve"> Kan</w:t>
      </w:r>
      <w:r w:rsidR="00DE3DDD">
        <w:rPr>
          <w:rFonts w:eastAsiaTheme="minorHAnsi"/>
          <w:sz w:val="22"/>
          <w:szCs w:val="22"/>
          <w:lang w:eastAsia="en-US"/>
        </w:rPr>
        <w:t xml:space="preserve"> Piteå bli en levande stad året runt kan </w:t>
      </w:r>
      <w:r w:rsidR="00DE3DDD" w:rsidRPr="00DE3DDD">
        <w:rPr>
          <w:rFonts w:eastAsiaTheme="minorHAnsi"/>
          <w:sz w:val="22"/>
          <w:szCs w:val="22"/>
          <w:lang w:eastAsia="en-US"/>
        </w:rPr>
        <w:t>målet</w:t>
      </w:r>
      <w:r w:rsidR="006531B9" w:rsidRPr="00DE3DDD">
        <w:rPr>
          <w:sz w:val="22"/>
          <w:szCs w:val="22"/>
        </w:rPr>
        <w:t xml:space="preserve"> </w:t>
      </w:r>
      <w:r w:rsidR="00DE3DDD" w:rsidRPr="00ED453C">
        <w:rPr>
          <w:b/>
          <w:sz w:val="22"/>
          <w:szCs w:val="22"/>
        </w:rPr>
        <w:t>”</w:t>
      </w:r>
      <w:r w:rsidR="006531B9" w:rsidRPr="00ED453C">
        <w:rPr>
          <w:b/>
          <w:sz w:val="22"/>
          <w:szCs w:val="22"/>
        </w:rPr>
        <w:t>43 000 invånare</w:t>
      </w:r>
      <w:r w:rsidR="006531B9" w:rsidRPr="00DE3DDD">
        <w:rPr>
          <w:sz w:val="22"/>
          <w:szCs w:val="22"/>
        </w:rPr>
        <w:t xml:space="preserve"> och </w:t>
      </w:r>
      <w:r w:rsidR="006531B9" w:rsidRPr="00ED453C">
        <w:rPr>
          <w:b/>
          <w:sz w:val="22"/>
          <w:szCs w:val="22"/>
        </w:rPr>
        <w:t>Attraktiva boendemiljöer</w:t>
      </w:r>
      <w:r w:rsidR="00DE3DDD" w:rsidRPr="00ED453C">
        <w:rPr>
          <w:b/>
          <w:sz w:val="22"/>
          <w:szCs w:val="22"/>
        </w:rPr>
        <w:t>”</w:t>
      </w:r>
      <w:r w:rsidR="006531B9" w:rsidRPr="00ED453C">
        <w:rPr>
          <w:b/>
          <w:sz w:val="22"/>
          <w:szCs w:val="22"/>
        </w:rPr>
        <w:t xml:space="preserve"> </w:t>
      </w:r>
      <w:r w:rsidR="00DE3DDD" w:rsidRPr="00DE3DDD">
        <w:rPr>
          <w:sz w:val="22"/>
          <w:szCs w:val="22"/>
        </w:rPr>
        <w:t>nås.</w:t>
      </w:r>
      <w:r w:rsidR="0042239E">
        <w:rPr>
          <w:sz w:val="22"/>
          <w:szCs w:val="22"/>
        </w:rPr>
        <w:t xml:space="preserve"> Utifrån en långsiktig plan startar arbete</w:t>
      </w:r>
      <w:r w:rsidR="00DC4D99">
        <w:rPr>
          <w:sz w:val="22"/>
          <w:szCs w:val="22"/>
        </w:rPr>
        <w:t>t</w:t>
      </w:r>
      <w:r w:rsidR="0042239E">
        <w:rPr>
          <w:sz w:val="22"/>
          <w:szCs w:val="22"/>
        </w:rPr>
        <w:t xml:space="preserve"> mot 2021 då Piteå firar 400 år. </w:t>
      </w:r>
      <w:r w:rsidR="00ED5740">
        <w:rPr>
          <w:sz w:val="22"/>
          <w:szCs w:val="22"/>
        </w:rPr>
        <w:t xml:space="preserve"> </w:t>
      </w:r>
    </w:p>
    <w:p w:rsidR="00DC4D99" w:rsidRDefault="00DC4D99" w:rsidP="00DE238E">
      <w:pPr>
        <w:rPr>
          <w:sz w:val="22"/>
          <w:szCs w:val="22"/>
        </w:rPr>
      </w:pPr>
    </w:p>
    <w:p w:rsidR="001D0E62" w:rsidRDefault="00B70736" w:rsidP="00DE238E">
      <w:pPr>
        <w:rPr>
          <w:sz w:val="22"/>
          <w:szCs w:val="22"/>
        </w:rPr>
      </w:pPr>
      <w:r w:rsidRPr="003F21A4">
        <w:rPr>
          <w:sz w:val="22"/>
          <w:szCs w:val="22"/>
        </w:rPr>
        <w:t xml:space="preserve">Exempel på samverkan med andra kommuner </w:t>
      </w:r>
      <w:r w:rsidR="00ED453C">
        <w:rPr>
          <w:sz w:val="22"/>
          <w:szCs w:val="22"/>
        </w:rPr>
        <w:t>är Biblioteken i Norrbotten</w:t>
      </w:r>
      <w:r w:rsidR="004970F3" w:rsidRPr="003F21A4">
        <w:rPr>
          <w:sz w:val="22"/>
          <w:szCs w:val="22"/>
        </w:rPr>
        <w:t xml:space="preserve"> som </w:t>
      </w:r>
      <w:r w:rsidR="00ED453C">
        <w:rPr>
          <w:sz w:val="22"/>
          <w:szCs w:val="22"/>
        </w:rPr>
        <w:t>gått samman i</w:t>
      </w:r>
      <w:r w:rsidRPr="003F21A4">
        <w:rPr>
          <w:sz w:val="22"/>
          <w:szCs w:val="22"/>
        </w:rPr>
        <w:t xml:space="preserve"> ett gemensamt bibliotekssystem. </w:t>
      </w:r>
      <w:r w:rsidR="00ED453C">
        <w:rPr>
          <w:sz w:val="22"/>
          <w:szCs w:val="22"/>
        </w:rPr>
        <w:t xml:space="preserve">Samverkan i Bottenvikens skärgård är ett annat exempel. </w:t>
      </w:r>
      <w:r w:rsidR="001D0E62">
        <w:rPr>
          <w:sz w:val="22"/>
          <w:szCs w:val="22"/>
        </w:rPr>
        <w:t>Att utveckla samverkan med civil samhället och andra kommuner är en viktig fråga som arbetas aktivt med.</w:t>
      </w:r>
    </w:p>
    <w:p w:rsidR="00CA69D9" w:rsidRDefault="00CA69D9" w:rsidP="00DE238E">
      <w:pPr>
        <w:rPr>
          <w:sz w:val="22"/>
          <w:szCs w:val="22"/>
        </w:rPr>
      </w:pPr>
    </w:p>
    <w:p w:rsidR="00161C00" w:rsidRDefault="00161C00" w:rsidP="00161C00">
      <w:pPr>
        <w:pStyle w:val="Rubrik2"/>
        <w:numPr>
          <w:ilvl w:val="0"/>
          <w:numId w:val="1"/>
        </w:numPr>
        <w:ind w:left="284" w:hanging="284"/>
        <w:rPr>
          <w:rFonts w:ascii="Gill Sans MT" w:hAnsi="Gill Sans MT"/>
          <w:sz w:val="28"/>
          <w:szCs w:val="28"/>
          <w:u w:val="none"/>
        </w:rPr>
      </w:pPr>
      <w:r>
        <w:rPr>
          <w:rFonts w:ascii="Gill Sans MT" w:hAnsi="Gill Sans MT"/>
          <w:sz w:val="28"/>
          <w:szCs w:val="28"/>
          <w:u w:val="none"/>
        </w:rPr>
        <w:t>Återredovisning av beslutade uppdrag</w:t>
      </w:r>
    </w:p>
    <w:p w:rsidR="00DB2728" w:rsidRPr="00DB2728" w:rsidRDefault="00DB2728" w:rsidP="00DB2728"/>
    <w:tbl>
      <w:tblPr>
        <w:tblStyle w:val="Tabellrutnt"/>
        <w:tblW w:w="8319" w:type="dxa"/>
        <w:tblInd w:w="392" w:type="dxa"/>
        <w:tblLook w:val="04A0" w:firstRow="1" w:lastRow="0" w:firstColumn="1" w:lastColumn="0" w:noHBand="0" w:noVBand="1"/>
      </w:tblPr>
      <w:tblGrid>
        <w:gridCol w:w="2845"/>
        <w:gridCol w:w="1083"/>
        <w:gridCol w:w="1121"/>
        <w:gridCol w:w="3270"/>
      </w:tblGrid>
      <w:tr w:rsidR="00161C00" w:rsidTr="005E328E">
        <w:tc>
          <w:tcPr>
            <w:tcW w:w="2845" w:type="dxa"/>
          </w:tcPr>
          <w:p w:rsidR="00161C00" w:rsidRPr="00CE12FF" w:rsidRDefault="00161C00" w:rsidP="004D0B92">
            <w:pPr>
              <w:rPr>
                <w:b/>
                <w:sz w:val="18"/>
                <w:szCs w:val="18"/>
              </w:rPr>
            </w:pPr>
            <w:proofErr w:type="gramStart"/>
            <w:r w:rsidRPr="00CE12FF">
              <w:rPr>
                <w:b/>
                <w:sz w:val="18"/>
                <w:szCs w:val="18"/>
              </w:rPr>
              <w:t>Uppdrag</w:t>
            </w:r>
            <w:proofErr w:type="gramEnd"/>
          </w:p>
        </w:tc>
        <w:tc>
          <w:tcPr>
            <w:tcW w:w="1083" w:type="dxa"/>
          </w:tcPr>
          <w:p w:rsidR="00161C00" w:rsidRPr="00CE12FF" w:rsidRDefault="00161C00" w:rsidP="004D0B92">
            <w:pPr>
              <w:rPr>
                <w:b/>
                <w:sz w:val="18"/>
                <w:szCs w:val="18"/>
              </w:rPr>
            </w:pPr>
            <w:r w:rsidRPr="00CE12FF">
              <w:rPr>
                <w:b/>
                <w:sz w:val="18"/>
                <w:szCs w:val="18"/>
              </w:rPr>
              <w:t>Status</w:t>
            </w:r>
          </w:p>
        </w:tc>
        <w:tc>
          <w:tcPr>
            <w:tcW w:w="1121" w:type="dxa"/>
          </w:tcPr>
          <w:p w:rsidR="00161C00" w:rsidRPr="00CE12FF" w:rsidRDefault="00161C00" w:rsidP="004D0B92">
            <w:pPr>
              <w:rPr>
                <w:b/>
                <w:sz w:val="18"/>
                <w:szCs w:val="18"/>
              </w:rPr>
            </w:pPr>
            <w:r w:rsidRPr="00CE12FF">
              <w:rPr>
                <w:b/>
                <w:sz w:val="18"/>
                <w:szCs w:val="18"/>
              </w:rPr>
              <w:t>Beslutad</w:t>
            </w:r>
          </w:p>
        </w:tc>
        <w:tc>
          <w:tcPr>
            <w:tcW w:w="3270" w:type="dxa"/>
          </w:tcPr>
          <w:p w:rsidR="00161C00" w:rsidRPr="00CE12FF" w:rsidRDefault="00161C00" w:rsidP="004D0B92">
            <w:pPr>
              <w:rPr>
                <w:b/>
                <w:sz w:val="18"/>
                <w:szCs w:val="18"/>
              </w:rPr>
            </w:pPr>
            <w:r w:rsidRPr="00CE12FF">
              <w:rPr>
                <w:b/>
                <w:sz w:val="18"/>
                <w:szCs w:val="18"/>
              </w:rPr>
              <w:t>Kommentar/Slutsats</w:t>
            </w:r>
          </w:p>
        </w:tc>
      </w:tr>
      <w:tr w:rsidR="00161C00" w:rsidTr="005E328E">
        <w:tc>
          <w:tcPr>
            <w:tcW w:w="2845" w:type="dxa"/>
          </w:tcPr>
          <w:p w:rsidR="00161C00" w:rsidRDefault="00061772" w:rsidP="004D0B92">
            <w:pPr>
              <w:rPr>
                <w:i/>
              </w:rPr>
            </w:pPr>
            <w:r>
              <w:rPr>
                <w:i/>
              </w:rPr>
              <w:t>Att inarbeta mångfald som kriterium vid utdelning av medel ex kulturmiljon, föreningsbidrag</w:t>
            </w:r>
          </w:p>
        </w:tc>
        <w:tc>
          <w:tcPr>
            <w:tcW w:w="1083" w:type="dxa"/>
          </w:tcPr>
          <w:p w:rsidR="00161C00" w:rsidRDefault="00B61F5B" w:rsidP="004D0B92">
            <w:pPr>
              <w:rPr>
                <w:i/>
              </w:rPr>
            </w:pPr>
            <w:r>
              <w:rPr>
                <w:i/>
              </w:rPr>
              <w:t>Genomfört</w:t>
            </w:r>
          </w:p>
        </w:tc>
        <w:tc>
          <w:tcPr>
            <w:tcW w:w="1121" w:type="dxa"/>
          </w:tcPr>
          <w:p w:rsidR="00161C00" w:rsidRDefault="00C55581" w:rsidP="004D0B92">
            <w:pPr>
              <w:rPr>
                <w:i/>
              </w:rPr>
            </w:pPr>
            <w:r>
              <w:rPr>
                <w:i/>
              </w:rPr>
              <w:t>Riktlinjer 2014</w:t>
            </w:r>
          </w:p>
        </w:tc>
        <w:tc>
          <w:tcPr>
            <w:tcW w:w="3270" w:type="dxa"/>
          </w:tcPr>
          <w:p w:rsidR="00161C00" w:rsidRDefault="00BC2CD7" w:rsidP="00BC2CD7">
            <w:pPr>
              <w:rPr>
                <w:i/>
              </w:rPr>
            </w:pPr>
            <w:r>
              <w:rPr>
                <w:i/>
              </w:rPr>
              <w:t xml:space="preserve">Kriterium för utdelning av medel från </w:t>
            </w:r>
            <w:r w:rsidR="00061772">
              <w:rPr>
                <w:i/>
              </w:rPr>
              <w:t>kulturmiljon</w:t>
            </w:r>
            <w:r>
              <w:rPr>
                <w:i/>
              </w:rPr>
              <w:t>en</w:t>
            </w:r>
            <w:r w:rsidR="00061772">
              <w:rPr>
                <w:i/>
              </w:rPr>
              <w:t xml:space="preserve"> har </w:t>
            </w:r>
            <w:r>
              <w:rPr>
                <w:i/>
              </w:rPr>
              <w:t>beslutats av KFN.</w:t>
            </w:r>
          </w:p>
        </w:tc>
      </w:tr>
      <w:tr w:rsidR="00B61F5B" w:rsidTr="005E328E">
        <w:tc>
          <w:tcPr>
            <w:tcW w:w="2845" w:type="dxa"/>
          </w:tcPr>
          <w:p w:rsidR="00B61F5B" w:rsidRDefault="00F01F65" w:rsidP="00F01F65">
            <w:pPr>
              <w:rPr>
                <w:i/>
              </w:rPr>
            </w:pPr>
            <w:r>
              <w:rPr>
                <w:i/>
              </w:rPr>
              <w:t>Alla nämnder ska öka samverkan internt och/eller med annan kommun där syftet är att åstadkomma ekonomisk effektivitet</w:t>
            </w:r>
          </w:p>
        </w:tc>
        <w:tc>
          <w:tcPr>
            <w:tcW w:w="1083" w:type="dxa"/>
          </w:tcPr>
          <w:p w:rsidR="00B61F5B" w:rsidRDefault="00F01F65" w:rsidP="004D0B92">
            <w:pPr>
              <w:rPr>
                <w:i/>
              </w:rPr>
            </w:pPr>
            <w:r>
              <w:rPr>
                <w:i/>
              </w:rPr>
              <w:t>Pågår</w:t>
            </w:r>
          </w:p>
        </w:tc>
        <w:tc>
          <w:tcPr>
            <w:tcW w:w="1121" w:type="dxa"/>
          </w:tcPr>
          <w:p w:rsidR="00B61F5B" w:rsidRDefault="00F01F65" w:rsidP="004D0B92">
            <w:pPr>
              <w:rPr>
                <w:i/>
              </w:rPr>
            </w:pPr>
            <w:r>
              <w:rPr>
                <w:i/>
              </w:rPr>
              <w:t>Riktlinjer 2015</w:t>
            </w:r>
          </w:p>
        </w:tc>
        <w:tc>
          <w:tcPr>
            <w:tcW w:w="3270" w:type="dxa"/>
          </w:tcPr>
          <w:p w:rsidR="00B61F5B" w:rsidRDefault="00F01F65" w:rsidP="00BC2CD7">
            <w:pPr>
              <w:rPr>
                <w:i/>
              </w:rPr>
            </w:pPr>
            <w:r>
              <w:rPr>
                <w:i/>
              </w:rPr>
              <w:t>Samverkan inom Bottenvikens skärgård och Bibliotekssamverkan i Norrbotten är genomförda.</w:t>
            </w:r>
          </w:p>
        </w:tc>
      </w:tr>
      <w:tr w:rsidR="00B61F5B" w:rsidTr="005E328E">
        <w:tc>
          <w:tcPr>
            <w:tcW w:w="2845" w:type="dxa"/>
          </w:tcPr>
          <w:p w:rsidR="00B61F5B" w:rsidRDefault="00F01F65" w:rsidP="004D0B92">
            <w:pPr>
              <w:rPr>
                <w:i/>
              </w:rPr>
            </w:pPr>
            <w:r>
              <w:rPr>
                <w:i/>
              </w:rPr>
              <w:t>Planering av verksamhet i kulturlokal samt integrering av annan kommunal verksamhet inom befintlig budget.</w:t>
            </w:r>
          </w:p>
        </w:tc>
        <w:tc>
          <w:tcPr>
            <w:tcW w:w="1083" w:type="dxa"/>
          </w:tcPr>
          <w:p w:rsidR="00B61F5B" w:rsidRDefault="00F01F65" w:rsidP="004D0B92">
            <w:pPr>
              <w:rPr>
                <w:i/>
              </w:rPr>
            </w:pPr>
            <w:r>
              <w:rPr>
                <w:i/>
              </w:rPr>
              <w:t>Pågår</w:t>
            </w:r>
          </w:p>
        </w:tc>
        <w:tc>
          <w:tcPr>
            <w:tcW w:w="1121" w:type="dxa"/>
          </w:tcPr>
          <w:p w:rsidR="00B61F5B" w:rsidRDefault="00F01F65" w:rsidP="004D0B92">
            <w:pPr>
              <w:rPr>
                <w:i/>
              </w:rPr>
            </w:pPr>
            <w:r>
              <w:rPr>
                <w:i/>
              </w:rPr>
              <w:t>VEP 2014</w:t>
            </w:r>
          </w:p>
        </w:tc>
        <w:tc>
          <w:tcPr>
            <w:tcW w:w="3270" w:type="dxa"/>
          </w:tcPr>
          <w:p w:rsidR="00B61F5B" w:rsidRDefault="00F01F65" w:rsidP="00BC2CD7">
            <w:pPr>
              <w:rPr>
                <w:i/>
              </w:rPr>
            </w:pPr>
            <w:r>
              <w:rPr>
                <w:i/>
              </w:rPr>
              <w:t>Kartläggning av tänkbara verksamheter genomförd.</w:t>
            </w:r>
          </w:p>
        </w:tc>
      </w:tr>
      <w:tr w:rsidR="00B61F5B" w:rsidTr="005E328E">
        <w:tc>
          <w:tcPr>
            <w:tcW w:w="2845" w:type="dxa"/>
          </w:tcPr>
          <w:p w:rsidR="00B61F5B" w:rsidRDefault="00F01F65" w:rsidP="004D0B92">
            <w:pPr>
              <w:rPr>
                <w:i/>
              </w:rPr>
            </w:pPr>
            <w:r>
              <w:rPr>
                <w:i/>
              </w:rPr>
              <w:t xml:space="preserve">Förstudie nytt ridhus tillsammans med </w:t>
            </w:r>
            <w:proofErr w:type="spellStart"/>
            <w:r>
              <w:rPr>
                <w:i/>
              </w:rPr>
              <w:t>ToS</w:t>
            </w:r>
            <w:proofErr w:type="spellEnd"/>
            <w:r>
              <w:rPr>
                <w:i/>
              </w:rPr>
              <w:t xml:space="preserve"> + </w:t>
            </w:r>
            <w:proofErr w:type="spellStart"/>
            <w:r>
              <w:rPr>
                <w:i/>
              </w:rPr>
              <w:t>FoS</w:t>
            </w:r>
            <w:proofErr w:type="spellEnd"/>
          </w:p>
        </w:tc>
        <w:tc>
          <w:tcPr>
            <w:tcW w:w="1083" w:type="dxa"/>
          </w:tcPr>
          <w:p w:rsidR="00B61F5B" w:rsidRDefault="00F01F65" w:rsidP="004D0B92">
            <w:pPr>
              <w:rPr>
                <w:i/>
              </w:rPr>
            </w:pPr>
            <w:r>
              <w:rPr>
                <w:i/>
              </w:rPr>
              <w:t>Pågår</w:t>
            </w:r>
          </w:p>
        </w:tc>
        <w:tc>
          <w:tcPr>
            <w:tcW w:w="1121" w:type="dxa"/>
          </w:tcPr>
          <w:p w:rsidR="00B61F5B" w:rsidRDefault="00F01F65" w:rsidP="004D0B92">
            <w:pPr>
              <w:rPr>
                <w:i/>
              </w:rPr>
            </w:pPr>
            <w:r>
              <w:rPr>
                <w:i/>
              </w:rPr>
              <w:t>VEP 2014</w:t>
            </w:r>
          </w:p>
        </w:tc>
        <w:tc>
          <w:tcPr>
            <w:tcW w:w="3270" w:type="dxa"/>
          </w:tcPr>
          <w:p w:rsidR="00B61F5B" w:rsidRPr="00EF7769" w:rsidRDefault="00EF7769" w:rsidP="00EF7769">
            <w:pPr>
              <w:rPr>
                <w:i/>
              </w:rPr>
            </w:pPr>
            <w:r w:rsidRPr="00EF7769">
              <w:rPr>
                <w:i/>
              </w:rPr>
              <w:t xml:space="preserve">Dialogmöte med representanter från </w:t>
            </w:r>
            <w:proofErr w:type="spellStart"/>
            <w:r w:rsidRPr="00EF7769">
              <w:rPr>
                <w:i/>
              </w:rPr>
              <w:t>ridföreningar</w:t>
            </w:r>
            <w:proofErr w:type="spellEnd"/>
            <w:r w:rsidRPr="00EF7769">
              <w:rPr>
                <w:i/>
              </w:rPr>
              <w:t xml:space="preserve"> har genomförts.  </w:t>
            </w:r>
          </w:p>
        </w:tc>
      </w:tr>
      <w:tr w:rsidR="00F01F65" w:rsidTr="005E328E">
        <w:tc>
          <w:tcPr>
            <w:tcW w:w="2845" w:type="dxa"/>
          </w:tcPr>
          <w:p w:rsidR="00F01F65" w:rsidRDefault="00F01F65" w:rsidP="004D0B92">
            <w:pPr>
              <w:rPr>
                <w:i/>
              </w:rPr>
            </w:pPr>
            <w:r>
              <w:rPr>
                <w:i/>
              </w:rPr>
              <w:lastRenderedPageBreak/>
              <w:t>Samordna planering av eventuell fortsatt lekparksplan och utveckling av utemiljöer vid förskolor och skolor</w:t>
            </w:r>
          </w:p>
        </w:tc>
        <w:tc>
          <w:tcPr>
            <w:tcW w:w="1083" w:type="dxa"/>
          </w:tcPr>
          <w:p w:rsidR="00F01F65" w:rsidRDefault="00F01F65" w:rsidP="004D0B92">
            <w:pPr>
              <w:rPr>
                <w:i/>
              </w:rPr>
            </w:pPr>
            <w:r>
              <w:rPr>
                <w:i/>
              </w:rPr>
              <w:t>Pågår</w:t>
            </w:r>
          </w:p>
        </w:tc>
        <w:tc>
          <w:tcPr>
            <w:tcW w:w="1121" w:type="dxa"/>
          </w:tcPr>
          <w:p w:rsidR="00F01F65" w:rsidRDefault="00F01F65" w:rsidP="004D0B92">
            <w:pPr>
              <w:rPr>
                <w:i/>
              </w:rPr>
            </w:pPr>
            <w:r>
              <w:rPr>
                <w:i/>
              </w:rPr>
              <w:t>VEP 2014</w:t>
            </w:r>
          </w:p>
        </w:tc>
        <w:tc>
          <w:tcPr>
            <w:tcW w:w="3270" w:type="dxa"/>
          </w:tcPr>
          <w:p w:rsidR="00F01F65" w:rsidRDefault="00EF7769" w:rsidP="00BC2CD7">
            <w:pPr>
              <w:rPr>
                <w:i/>
              </w:rPr>
            </w:pPr>
            <w:r>
              <w:rPr>
                <w:i/>
              </w:rPr>
              <w:t xml:space="preserve">Gemensamma riktlinjer har tagits fram med BUN och </w:t>
            </w:r>
            <w:proofErr w:type="spellStart"/>
            <w:r>
              <w:rPr>
                <w:i/>
              </w:rPr>
              <w:t>FoS</w:t>
            </w:r>
            <w:proofErr w:type="spellEnd"/>
            <w:r>
              <w:rPr>
                <w:i/>
              </w:rPr>
              <w:t>.</w:t>
            </w:r>
          </w:p>
        </w:tc>
      </w:tr>
    </w:tbl>
    <w:p w:rsidR="0002651D" w:rsidRDefault="0002651D" w:rsidP="0002651D">
      <w:pPr>
        <w:pStyle w:val="Rubrik2"/>
        <w:rPr>
          <w:rFonts w:ascii="Gill Sans MT" w:hAnsi="Gill Sans MT"/>
          <w:sz w:val="28"/>
          <w:szCs w:val="28"/>
          <w:u w:val="none"/>
        </w:rPr>
      </w:pPr>
    </w:p>
    <w:p w:rsidR="00961120" w:rsidRDefault="00DE3DDD" w:rsidP="00961120">
      <w:pPr>
        <w:pStyle w:val="Rubrik2"/>
        <w:numPr>
          <w:ilvl w:val="0"/>
          <w:numId w:val="1"/>
        </w:numPr>
        <w:ind w:left="284" w:hanging="284"/>
        <w:rPr>
          <w:rFonts w:ascii="Gill Sans MT" w:hAnsi="Gill Sans MT"/>
          <w:sz w:val="28"/>
          <w:szCs w:val="28"/>
          <w:u w:val="none"/>
        </w:rPr>
      </w:pPr>
      <w:r>
        <w:rPr>
          <w:rFonts w:ascii="Gill Sans MT" w:hAnsi="Gill Sans MT"/>
          <w:sz w:val="28"/>
          <w:szCs w:val="28"/>
          <w:u w:val="none"/>
        </w:rPr>
        <w:t>T</w:t>
      </w:r>
      <w:r w:rsidR="00961120">
        <w:rPr>
          <w:rFonts w:ascii="Gill Sans MT" w:hAnsi="Gill Sans MT"/>
          <w:sz w:val="28"/>
          <w:szCs w:val="28"/>
          <w:u w:val="none"/>
        </w:rPr>
        <w:t>axor</w:t>
      </w:r>
    </w:p>
    <w:p w:rsidR="001D0E62" w:rsidRPr="001D0E62" w:rsidRDefault="001D0E62" w:rsidP="001D0E62">
      <w:pPr>
        <w:rPr>
          <w:sz w:val="22"/>
          <w:szCs w:val="22"/>
        </w:rPr>
      </w:pPr>
      <w:r w:rsidRPr="00B5770C">
        <w:rPr>
          <w:sz w:val="22"/>
          <w:szCs w:val="22"/>
        </w:rPr>
        <w:t xml:space="preserve">Badavgifter i simhallarna håller generellt sett en låg nivå i Piteå jämfört med andra kommuner i Norrbotten. Barn och familjer är prioriterade och där hålls kostnaderna nere. Badavgifterna höjs enligt index men eftersom vissa nivåer är så låga görs de inte årligen </w:t>
      </w:r>
      <w:r w:rsidRPr="00027903">
        <w:rPr>
          <w:sz w:val="22"/>
          <w:szCs w:val="22"/>
          <w:highlight w:val="yellow"/>
        </w:rPr>
        <w:t xml:space="preserve">(bil </w:t>
      </w:r>
      <w:r w:rsidR="00042621" w:rsidRPr="00027903">
        <w:rPr>
          <w:sz w:val="22"/>
          <w:szCs w:val="22"/>
          <w:highlight w:val="yellow"/>
        </w:rPr>
        <w:t>XX</w:t>
      </w:r>
      <w:r w:rsidRPr="00027903">
        <w:rPr>
          <w:sz w:val="22"/>
          <w:szCs w:val="22"/>
          <w:highlight w:val="yellow"/>
        </w:rPr>
        <w:t>).</w:t>
      </w:r>
      <w:r w:rsidRPr="001D0E62">
        <w:rPr>
          <w:sz w:val="22"/>
          <w:szCs w:val="22"/>
        </w:rPr>
        <w:t xml:space="preserve">  </w:t>
      </w:r>
    </w:p>
    <w:p w:rsidR="00DB2728" w:rsidRDefault="00BD0E7E" w:rsidP="0042239E">
      <w:pPr>
        <w:rPr>
          <w:sz w:val="22"/>
          <w:szCs w:val="22"/>
        </w:rPr>
      </w:pPr>
      <w:r>
        <w:rPr>
          <w:sz w:val="22"/>
          <w:szCs w:val="22"/>
        </w:rPr>
        <w:t xml:space="preserve">Under året har en översyn av taxor i kommunala lokaler och fritidsanläggningar genomförts. Syftet har varit att hitta en röd tråd genom systemet och att barn och unga ska ha liknande förutsättningar oavsett </w:t>
      </w:r>
      <w:r w:rsidR="001D0E62">
        <w:rPr>
          <w:sz w:val="22"/>
          <w:szCs w:val="22"/>
        </w:rPr>
        <w:t>i</w:t>
      </w:r>
      <w:r>
        <w:rPr>
          <w:sz w:val="22"/>
          <w:szCs w:val="22"/>
        </w:rPr>
        <w:t xml:space="preserve">drott </w:t>
      </w:r>
      <w:r w:rsidR="001D0E62">
        <w:rPr>
          <w:sz w:val="22"/>
          <w:szCs w:val="22"/>
        </w:rPr>
        <w:t>som bedrivs.</w:t>
      </w:r>
      <w:r>
        <w:rPr>
          <w:sz w:val="22"/>
          <w:szCs w:val="22"/>
        </w:rPr>
        <w:t xml:space="preserve"> Föreningstaxa ska fortsätta gälla barn och ungdomsverksamhet </w:t>
      </w:r>
      <w:r w:rsidRPr="00BD0E7E">
        <w:rPr>
          <w:sz w:val="22"/>
          <w:szCs w:val="22"/>
          <w:highlight w:val="yellow"/>
        </w:rPr>
        <w:t>(bil XX)</w:t>
      </w:r>
      <w:r>
        <w:rPr>
          <w:sz w:val="22"/>
          <w:szCs w:val="22"/>
        </w:rPr>
        <w:t xml:space="preserve">. </w:t>
      </w:r>
    </w:p>
    <w:p w:rsidR="001D0E62" w:rsidRDefault="001D0E62" w:rsidP="0042239E">
      <w:pPr>
        <w:rPr>
          <w:sz w:val="22"/>
          <w:szCs w:val="22"/>
        </w:rPr>
      </w:pPr>
    </w:p>
    <w:p w:rsidR="00161C00" w:rsidRDefault="00161C00" w:rsidP="00161C00">
      <w:pPr>
        <w:pStyle w:val="Rubrik2"/>
        <w:numPr>
          <w:ilvl w:val="0"/>
          <w:numId w:val="1"/>
        </w:numPr>
        <w:ind w:left="284" w:hanging="284"/>
        <w:rPr>
          <w:rFonts w:ascii="Gill Sans MT" w:hAnsi="Gill Sans MT"/>
          <w:sz w:val="28"/>
          <w:szCs w:val="28"/>
          <w:u w:val="none"/>
        </w:rPr>
      </w:pPr>
      <w:r>
        <w:rPr>
          <w:rFonts w:ascii="Gill Sans MT" w:hAnsi="Gill Sans MT"/>
          <w:sz w:val="28"/>
          <w:szCs w:val="28"/>
          <w:u w:val="none"/>
        </w:rPr>
        <w:t>Investeringar</w:t>
      </w:r>
    </w:p>
    <w:tbl>
      <w:tblPr>
        <w:tblW w:w="9520" w:type="dxa"/>
        <w:tblInd w:w="55" w:type="dxa"/>
        <w:tblCellMar>
          <w:left w:w="70" w:type="dxa"/>
          <w:right w:w="70" w:type="dxa"/>
        </w:tblCellMar>
        <w:tblLook w:val="04A0" w:firstRow="1" w:lastRow="0" w:firstColumn="1" w:lastColumn="0" w:noHBand="0" w:noVBand="1"/>
      </w:tblPr>
      <w:tblGrid>
        <w:gridCol w:w="5020"/>
        <w:gridCol w:w="860"/>
        <w:gridCol w:w="760"/>
        <w:gridCol w:w="960"/>
        <w:gridCol w:w="960"/>
        <w:gridCol w:w="960"/>
      </w:tblGrid>
      <w:tr w:rsidR="0037518A" w:rsidRPr="0037518A" w:rsidTr="0037518A">
        <w:trPr>
          <w:trHeight w:val="435"/>
        </w:trPr>
        <w:tc>
          <w:tcPr>
            <w:tcW w:w="5880" w:type="dxa"/>
            <w:gridSpan w:val="2"/>
            <w:tcBorders>
              <w:top w:val="nil"/>
              <w:left w:val="nil"/>
              <w:bottom w:val="nil"/>
              <w:right w:val="nil"/>
            </w:tcBorders>
            <w:shd w:val="clear" w:color="auto" w:fill="auto"/>
            <w:noWrap/>
            <w:vAlign w:val="bottom"/>
            <w:hideMark/>
          </w:tcPr>
          <w:p w:rsidR="0037518A" w:rsidRPr="0037518A" w:rsidRDefault="0037518A" w:rsidP="0037518A">
            <w:pPr>
              <w:rPr>
                <w:rFonts w:ascii="Gill Sans MT" w:hAnsi="Gill Sans MT" w:cs="Arial"/>
                <w:sz w:val="28"/>
                <w:szCs w:val="28"/>
              </w:rPr>
            </w:pPr>
            <w:r w:rsidRPr="0037518A">
              <w:rPr>
                <w:rFonts w:ascii="Gill Sans MT" w:hAnsi="Gill Sans MT" w:cs="Arial"/>
                <w:sz w:val="28"/>
                <w:szCs w:val="28"/>
              </w:rPr>
              <w:t>INVESTERINGSBUDGET 2015-2017 (tkr)</w:t>
            </w:r>
          </w:p>
        </w:tc>
        <w:tc>
          <w:tcPr>
            <w:tcW w:w="760" w:type="dxa"/>
            <w:tcBorders>
              <w:top w:val="nil"/>
              <w:left w:val="nil"/>
              <w:bottom w:val="nil"/>
              <w:right w:val="nil"/>
            </w:tcBorders>
            <w:shd w:val="clear" w:color="auto" w:fill="auto"/>
            <w:noWrap/>
            <w:vAlign w:val="bottom"/>
            <w:hideMark/>
          </w:tcPr>
          <w:p w:rsidR="0037518A" w:rsidRPr="0037518A" w:rsidRDefault="0037518A" w:rsidP="0037518A">
            <w:pPr>
              <w:rPr>
                <w:sz w:val="28"/>
                <w:szCs w:val="28"/>
              </w:rPr>
            </w:pPr>
          </w:p>
        </w:tc>
        <w:tc>
          <w:tcPr>
            <w:tcW w:w="960" w:type="dxa"/>
            <w:tcBorders>
              <w:top w:val="nil"/>
              <w:left w:val="nil"/>
              <w:bottom w:val="nil"/>
              <w:right w:val="nil"/>
            </w:tcBorders>
            <w:shd w:val="clear" w:color="auto" w:fill="auto"/>
            <w:noWrap/>
            <w:vAlign w:val="bottom"/>
            <w:hideMark/>
          </w:tcPr>
          <w:p w:rsidR="0037518A" w:rsidRPr="0037518A" w:rsidRDefault="0037518A" w:rsidP="0037518A">
            <w:pPr>
              <w:rPr>
                <w:rFonts w:ascii="Arial" w:hAnsi="Arial" w:cs="Arial"/>
              </w:rPr>
            </w:pPr>
          </w:p>
        </w:tc>
        <w:tc>
          <w:tcPr>
            <w:tcW w:w="960" w:type="dxa"/>
            <w:tcBorders>
              <w:top w:val="nil"/>
              <w:left w:val="nil"/>
              <w:bottom w:val="nil"/>
              <w:right w:val="nil"/>
            </w:tcBorders>
            <w:shd w:val="clear" w:color="auto" w:fill="auto"/>
            <w:noWrap/>
            <w:vAlign w:val="bottom"/>
            <w:hideMark/>
          </w:tcPr>
          <w:p w:rsidR="0037518A" w:rsidRPr="0037518A" w:rsidRDefault="0037518A" w:rsidP="0037518A">
            <w:pPr>
              <w:rPr>
                <w:rFonts w:ascii="Arial" w:hAnsi="Arial" w:cs="Arial"/>
              </w:rPr>
            </w:pPr>
          </w:p>
        </w:tc>
        <w:tc>
          <w:tcPr>
            <w:tcW w:w="960" w:type="dxa"/>
            <w:tcBorders>
              <w:top w:val="nil"/>
              <w:left w:val="nil"/>
              <w:bottom w:val="nil"/>
              <w:right w:val="nil"/>
            </w:tcBorders>
            <w:shd w:val="clear" w:color="auto" w:fill="auto"/>
            <w:noWrap/>
            <w:vAlign w:val="bottom"/>
            <w:hideMark/>
          </w:tcPr>
          <w:p w:rsidR="0037518A" w:rsidRPr="0037518A" w:rsidRDefault="0037518A" w:rsidP="0037518A">
            <w:pPr>
              <w:rPr>
                <w:rFonts w:ascii="Arial" w:hAnsi="Arial" w:cs="Arial"/>
              </w:rPr>
            </w:pPr>
          </w:p>
        </w:tc>
      </w:tr>
      <w:tr w:rsidR="0037518A" w:rsidRPr="0037518A" w:rsidTr="0037518A">
        <w:trPr>
          <w:trHeight w:val="48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pPr>
              <w:rPr>
                <w:b/>
                <w:bCs/>
                <w:sz w:val="18"/>
                <w:szCs w:val="18"/>
              </w:rPr>
            </w:pPr>
            <w:r w:rsidRPr="0037518A">
              <w:rPr>
                <w:b/>
                <w:bCs/>
                <w:sz w:val="18"/>
                <w:szCs w:val="18"/>
              </w:rPr>
              <w:t>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sz w:val="18"/>
                <w:szCs w:val="18"/>
              </w:rPr>
            </w:pPr>
            <w:r w:rsidRPr="0037518A">
              <w:rPr>
                <w:b/>
                <w:bCs/>
                <w:sz w:val="18"/>
                <w:szCs w:val="18"/>
              </w:rPr>
              <w:t>Underlag</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sz w:val="18"/>
                <w:szCs w:val="18"/>
              </w:rPr>
            </w:pPr>
            <w:proofErr w:type="spellStart"/>
            <w:r w:rsidRPr="0037518A">
              <w:rPr>
                <w:b/>
                <w:bCs/>
                <w:sz w:val="18"/>
                <w:szCs w:val="18"/>
              </w:rPr>
              <w:t>Prio</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sz w:val="18"/>
                <w:szCs w:val="18"/>
              </w:rPr>
            </w:pPr>
            <w:r w:rsidRPr="0037518A">
              <w:rPr>
                <w:b/>
                <w:bCs/>
                <w:sz w:val="18"/>
                <w:szCs w:val="18"/>
              </w:rPr>
              <w:t>Budget 2015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sz w:val="18"/>
                <w:szCs w:val="18"/>
              </w:rPr>
            </w:pPr>
            <w:r w:rsidRPr="0037518A">
              <w:rPr>
                <w:b/>
                <w:bCs/>
                <w:sz w:val="18"/>
                <w:szCs w:val="18"/>
              </w:rPr>
              <w:t>Plan</w:t>
            </w:r>
            <w:r w:rsidRPr="0037518A">
              <w:rPr>
                <w:b/>
                <w:bCs/>
                <w:sz w:val="18"/>
                <w:szCs w:val="18"/>
              </w:rPr>
              <w:br/>
              <w:t xml:space="preserve"> 2016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sz w:val="18"/>
                <w:szCs w:val="18"/>
              </w:rPr>
            </w:pPr>
            <w:r w:rsidRPr="0037518A">
              <w:rPr>
                <w:b/>
                <w:bCs/>
                <w:sz w:val="18"/>
                <w:szCs w:val="18"/>
              </w:rPr>
              <w:t>Plan</w:t>
            </w:r>
            <w:r w:rsidRPr="0037518A">
              <w:rPr>
                <w:b/>
                <w:bCs/>
                <w:sz w:val="18"/>
                <w:szCs w:val="18"/>
              </w:rPr>
              <w:br/>
              <w:t xml:space="preserve"> 2017</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pPr>
              <w:rPr>
                <w:b/>
                <w:bCs/>
              </w:rPr>
            </w:pPr>
            <w:r w:rsidRPr="0037518A">
              <w:rPr>
                <w:b/>
                <w:bCs/>
              </w:rPr>
              <w:t>Kultur- och fritidsnämnden, totalt</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rPr>
            </w:pPr>
            <w:r w:rsidRPr="0037518A">
              <w:rPr>
                <w:b/>
                <w:bCs/>
              </w:rPr>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rPr>
            </w:pPr>
            <w:r w:rsidRPr="0037518A">
              <w:rPr>
                <w:b/>
                <w:bCs/>
              </w:rPr>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rPr>
            </w:pPr>
            <w:r w:rsidRPr="0037518A">
              <w:rPr>
                <w:b/>
                <w:bCs/>
              </w:rPr>
              <w:t>82 171</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rPr>
            </w:pPr>
            <w:r w:rsidRPr="0037518A">
              <w:rPr>
                <w:b/>
                <w:bCs/>
              </w:rPr>
              <w:t>11 331</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rPr>
            </w:pPr>
            <w:r w:rsidRPr="0037518A">
              <w:rPr>
                <w:b/>
                <w:bCs/>
              </w:rPr>
              <w:t>6 631</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Investeringsram ospecificerad ©</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2 000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2 000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2 000</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Lekparksplan (år 6 av 10)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2:2</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600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600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600</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 xml:space="preserve">Parkplan, del </w:t>
            </w:r>
            <w:proofErr w:type="gramStart"/>
            <w:r w:rsidRPr="0037518A">
              <w:t>2 ( år</w:t>
            </w:r>
            <w:proofErr w:type="gramEnd"/>
            <w:r w:rsidRPr="0037518A">
              <w:t xml:space="preserve"> 2 av 4)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2:3</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3</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400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400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400</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Folkhälsoåtgärder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2:4</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4</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500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500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500</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proofErr w:type="spellStart"/>
            <w:r w:rsidRPr="0037518A">
              <w:t>Pitholms</w:t>
            </w:r>
            <w:proofErr w:type="spellEnd"/>
            <w:r w:rsidRPr="0037518A">
              <w:t xml:space="preserve"> sporthall </w:t>
            </w:r>
            <w:proofErr w:type="spellStart"/>
            <w:r w:rsidRPr="0037518A">
              <w:t>inkl</w:t>
            </w:r>
            <w:proofErr w:type="spellEnd"/>
            <w:r w:rsidRPr="0037518A">
              <w:t xml:space="preserve"> mötesplats (a)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2:5</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5</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20 700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Kulturmötesplats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2:6</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6</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3 000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1 200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800</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Ismaskin, LF arena ©</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2:7</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7</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1 200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Övertryckshall (</w:t>
            </w:r>
            <w:proofErr w:type="spellStart"/>
            <w:r w:rsidRPr="0037518A">
              <w:t>Airdome</w:t>
            </w:r>
            <w:proofErr w:type="spellEnd"/>
            <w:r w:rsidRPr="0037518A">
              <w:t>)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2:8</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8</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20 400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VA-ledning Norrstrand (a)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2:9</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9</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2 700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Skatepark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2:10</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7 000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Skärgårdspaket (</w:t>
            </w:r>
            <w:proofErr w:type="spellStart"/>
            <w:r w:rsidRPr="0037518A">
              <w:t>inkl</w:t>
            </w:r>
            <w:proofErr w:type="spellEnd"/>
            <w:r w:rsidRPr="0037518A">
              <w:t xml:space="preserve"> muddring Rosvik)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2:11</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11</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3 000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Belysningskrav LF arena (a)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2:12</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12</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4 000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Kulturtorg (</w:t>
            </w:r>
            <w:proofErr w:type="spellStart"/>
            <w:r w:rsidRPr="0037518A">
              <w:t>kv</w:t>
            </w:r>
            <w:proofErr w:type="spellEnd"/>
            <w:r w:rsidRPr="0037518A">
              <w:t xml:space="preserve"> Stadsvapnet)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2:13</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13</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6 000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 xml:space="preserve">Teknikinvesteringar Studio </w:t>
            </w:r>
            <w:proofErr w:type="spellStart"/>
            <w:r w:rsidRPr="0037518A">
              <w:t>Acusticum</w:t>
            </w:r>
            <w:proofErr w:type="spellEnd"/>
            <w:r w:rsidRPr="0037518A">
              <w:t xml:space="preserve">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2:14</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14</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600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600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600</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Investeringar SM-veckan 2016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2:15</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15</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1 000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Inventarier mötesplats, konferensrum friidrottshall (a)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2:16</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16</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500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Allt ljus på Piteå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2:17</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17</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300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Renovering Nolia Ishall (a)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2:18</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18</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3 000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2 100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1 000</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 xml:space="preserve">Sarg, skyddsglas, </w:t>
            </w:r>
            <w:proofErr w:type="spellStart"/>
            <w:r w:rsidRPr="0037518A">
              <w:t>kylkopressor</w:t>
            </w:r>
            <w:proofErr w:type="spellEnd"/>
            <w:r w:rsidRPr="0037518A">
              <w:t xml:space="preserve"> LF arena (a)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2:19</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19</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1 200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Rosviks ishall (a)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2:20</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3 200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3 200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Lusthusbacken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2:21</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21</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140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 </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pPr>
              <w:rPr>
                <w:b/>
                <w:bCs/>
              </w:rPr>
            </w:pPr>
            <w:r w:rsidRPr="0037518A">
              <w:rPr>
                <w:b/>
                <w:bCs/>
              </w:rPr>
              <w:t>Omförd från driftbudgetram:</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Modernisering park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100</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Moderninsering anläggningar (a)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550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550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550</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Konstparken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81</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81</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81</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 </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pPr>
              <w:rPr>
                <w:b/>
                <w:bCs/>
              </w:rPr>
            </w:pPr>
            <w:r w:rsidRPr="0037518A">
              <w:rPr>
                <w:b/>
                <w:bCs/>
              </w:rPr>
              <w:t>Sammanställning områden:</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Reinvestering fastighet (a)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35 850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Investering verksamhetsutveckling (b)</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43 121</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Reinvestering maskiner/fordon (c)</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8"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8" w:space="0" w:color="auto"/>
              <w:right w:val="single" w:sz="4" w:space="0" w:color="auto"/>
            </w:tcBorders>
            <w:shd w:val="clear" w:color="auto" w:fill="auto"/>
            <w:vAlign w:val="center"/>
            <w:hideMark/>
          </w:tcPr>
          <w:p w:rsidR="0037518A" w:rsidRPr="0037518A" w:rsidRDefault="0037518A" w:rsidP="0037518A">
            <w:pPr>
              <w:jc w:val="right"/>
            </w:pPr>
            <w:r w:rsidRPr="0037518A">
              <w:t>3 200</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r w:rsidR="0037518A" w:rsidRPr="0037518A" w:rsidTr="0037518A">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37518A" w:rsidRPr="0037518A" w:rsidRDefault="0037518A" w:rsidP="0037518A">
            <w:r w:rsidRPr="0037518A">
              <w:t>Summa:</w:t>
            </w:r>
          </w:p>
        </w:tc>
        <w:tc>
          <w:tcPr>
            <w:tcW w:w="8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7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rPr>
            </w:pPr>
            <w:r w:rsidRPr="0037518A">
              <w:rPr>
                <w:b/>
                <w:bCs/>
              </w:rPr>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rPr>
                <w:b/>
                <w:bCs/>
              </w:rPr>
            </w:pPr>
            <w:r w:rsidRPr="0037518A">
              <w:rPr>
                <w:b/>
                <w:bCs/>
              </w:rPr>
              <w:t>82 171</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c>
          <w:tcPr>
            <w:tcW w:w="960" w:type="dxa"/>
            <w:tcBorders>
              <w:top w:val="nil"/>
              <w:left w:val="nil"/>
              <w:bottom w:val="single" w:sz="4" w:space="0" w:color="auto"/>
              <w:right w:val="single" w:sz="4" w:space="0" w:color="auto"/>
            </w:tcBorders>
            <w:shd w:val="clear" w:color="auto" w:fill="auto"/>
            <w:vAlign w:val="center"/>
            <w:hideMark/>
          </w:tcPr>
          <w:p w:rsidR="0037518A" w:rsidRPr="0037518A" w:rsidRDefault="0037518A" w:rsidP="0037518A">
            <w:pPr>
              <w:jc w:val="right"/>
            </w:pPr>
            <w:r w:rsidRPr="0037518A">
              <w:t> </w:t>
            </w:r>
          </w:p>
        </w:tc>
      </w:tr>
    </w:tbl>
    <w:p w:rsidR="0037518A" w:rsidRPr="0037518A" w:rsidRDefault="0037518A" w:rsidP="0037518A"/>
    <w:p w:rsidR="00161C00" w:rsidRDefault="00161C00" w:rsidP="00161C00">
      <w:pPr>
        <w:ind w:left="720"/>
      </w:pPr>
    </w:p>
    <w:p w:rsidR="0002651D" w:rsidRDefault="0002651D" w:rsidP="0002651D">
      <w:pPr>
        <w:pStyle w:val="Rubrik2"/>
        <w:ind w:left="284"/>
        <w:rPr>
          <w:rFonts w:ascii="Gill Sans MT" w:hAnsi="Gill Sans MT"/>
          <w:sz w:val="28"/>
          <w:szCs w:val="28"/>
          <w:highlight w:val="yellow"/>
          <w:u w:val="none"/>
        </w:rPr>
      </w:pPr>
    </w:p>
    <w:p w:rsidR="00961120" w:rsidRDefault="00961120" w:rsidP="00961120">
      <w:pPr>
        <w:pStyle w:val="Rubrik2"/>
        <w:numPr>
          <w:ilvl w:val="0"/>
          <w:numId w:val="1"/>
        </w:numPr>
        <w:ind w:left="284" w:hanging="284"/>
        <w:rPr>
          <w:rFonts w:ascii="Gill Sans MT" w:hAnsi="Gill Sans MT"/>
          <w:sz w:val="28"/>
          <w:szCs w:val="28"/>
          <w:highlight w:val="yellow"/>
          <w:u w:val="none"/>
        </w:rPr>
      </w:pPr>
      <w:r w:rsidRPr="001D0E62">
        <w:rPr>
          <w:rFonts w:ascii="Gill Sans MT" w:hAnsi="Gill Sans MT"/>
          <w:sz w:val="28"/>
          <w:szCs w:val="28"/>
          <w:highlight w:val="yellow"/>
          <w:u w:val="none"/>
        </w:rPr>
        <w:t>Ekonomi</w:t>
      </w:r>
    </w:p>
    <w:p w:rsidR="00C07AF8" w:rsidRPr="00C07AF8" w:rsidRDefault="00C07AF8" w:rsidP="00C07AF8">
      <w:pPr>
        <w:rPr>
          <w:highlight w:val="yellow"/>
        </w:rPr>
      </w:pPr>
    </w:p>
    <w:tbl>
      <w:tblPr>
        <w:tblW w:w="8880" w:type="dxa"/>
        <w:tblInd w:w="55" w:type="dxa"/>
        <w:tblCellMar>
          <w:left w:w="70" w:type="dxa"/>
          <w:right w:w="70" w:type="dxa"/>
        </w:tblCellMar>
        <w:tblLook w:val="04A0" w:firstRow="1" w:lastRow="0" w:firstColumn="1" w:lastColumn="0" w:noHBand="0" w:noVBand="1"/>
      </w:tblPr>
      <w:tblGrid>
        <w:gridCol w:w="2780"/>
        <w:gridCol w:w="1220"/>
        <w:gridCol w:w="1220"/>
        <w:gridCol w:w="1220"/>
        <w:gridCol w:w="1220"/>
        <w:gridCol w:w="1220"/>
      </w:tblGrid>
      <w:tr w:rsidR="00C07AF8" w:rsidRPr="00C07AF8" w:rsidTr="00C07AF8">
        <w:trPr>
          <w:trHeight w:val="315"/>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C07AF8" w:rsidRPr="00C07AF8" w:rsidRDefault="00C07AF8" w:rsidP="00C07AF8">
            <w:pPr>
              <w:rPr>
                <w:b/>
                <w:bCs/>
                <w:sz w:val="24"/>
                <w:szCs w:val="24"/>
              </w:rPr>
            </w:pPr>
            <w:r w:rsidRPr="00C07AF8">
              <w:rPr>
                <w:b/>
                <w:bCs/>
                <w:sz w:val="24"/>
                <w:szCs w:val="24"/>
              </w:rPr>
              <w:t>Drift och investeringar</w:t>
            </w:r>
          </w:p>
        </w:tc>
        <w:tc>
          <w:tcPr>
            <w:tcW w:w="1220" w:type="dxa"/>
            <w:tcBorders>
              <w:top w:val="single" w:sz="4" w:space="0" w:color="auto"/>
              <w:left w:val="nil"/>
              <w:bottom w:val="nil"/>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Utfall</w:t>
            </w:r>
          </w:p>
        </w:tc>
        <w:tc>
          <w:tcPr>
            <w:tcW w:w="1220" w:type="dxa"/>
            <w:tcBorders>
              <w:top w:val="single" w:sz="4" w:space="0" w:color="auto"/>
              <w:left w:val="nil"/>
              <w:bottom w:val="nil"/>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Budget</w:t>
            </w:r>
          </w:p>
        </w:tc>
        <w:tc>
          <w:tcPr>
            <w:tcW w:w="1220" w:type="dxa"/>
            <w:tcBorders>
              <w:top w:val="single" w:sz="4" w:space="0" w:color="auto"/>
              <w:left w:val="nil"/>
              <w:bottom w:val="nil"/>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Budget</w:t>
            </w:r>
          </w:p>
        </w:tc>
        <w:tc>
          <w:tcPr>
            <w:tcW w:w="1220" w:type="dxa"/>
            <w:tcBorders>
              <w:top w:val="single" w:sz="4" w:space="0" w:color="auto"/>
              <w:left w:val="nil"/>
              <w:bottom w:val="nil"/>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Plan</w:t>
            </w:r>
          </w:p>
        </w:tc>
        <w:tc>
          <w:tcPr>
            <w:tcW w:w="1220" w:type="dxa"/>
            <w:tcBorders>
              <w:top w:val="single" w:sz="4" w:space="0" w:color="auto"/>
              <w:left w:val="nil"/>
              <w:bottom w:val="nil"/>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Plan</w:t>
            </w:r>
          </w:p>
        </w:tc>
      </w:tr>
      <w:tr w:rsidR="00C07AF8" w:rsidRPr="00C07AF8" w:rsidTr="00C07AF8">
        <w:trPr>
          <w:trHeight w:val="315"/>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C07AF8" w:rsidRPr="00C07AF8" w:rsidRDefault="00C07AF8" w:rsidP="00C07AF8">
            <w:pPr>
              <w:rPr>
                <w:b/>
                <w:bCs/>
                <w:sz w:val="24"/>
                <w:szCs w:val="24"/>
              </w:rPr>
            </w:pPr>
            <w:r w:rsidRPr="00C07AF8">
              <w:rPr>
                <w:b/>
                <w:bCs/>
                <w:sz w:val="24"/>
                <w:szCs w:val="24"/>
              </w:rPr>
              <w:t>2015-2017, tkr</w:t>
            </w:r>
          </w:p>
        </w:tc>
        <w:tc>
          <w:tcPr>
            <w:tcW w:w="1220" w:type="dxa"/>
            <w:tcBorders>
              <w:top w:val="nil"/>
              <w:left w:val="nil"/>
              <w:bottom w:val="single" w:sz="4" w:space="0" w:color="auto"/>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2013</w:t>
            </w:r>
          </w:p>
        </w:tc>
        <w:tc>
          <w:tcPr>
            <w:tcW w:w="1220" w:type="dxa"/>
            <w:tcBorders>
              <w:top w:val="nil"/>
              <w:left w:val="nil"/>
              <w:bottom w:val="single" w:sz="4" w:space="0" w:color="auto"/>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2014</w:t>
            </w:r>
          </w:p>
        </w:tc>
        <w:tc>
          <w:tcPr>
            <w:tcW w:w="1220" w:type="dxa"/>
            <w:tcBorders>
              <w:top w:val="nil"/>
              <w:left w:val="nil"/>
              <w:bottom w:val="single" w:sz="4" w:space="0" w:color="auto"/>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2015</w:t>
            </w:r>
          </w:p>
        </w:tc>
        <w:tc>
          <w:tcPr>
            <w:tcW w:w="1220" w:type="dxa"/>
            <w:tcBorders>
              <w:top w:val="nil"/>
              <w:left w:val="nil"/>
              <w:bottom w:val="single" w:sz="4" w:space="0" w:color="auto"/>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2016</w:t>
            </w:r>
          </w:p>
        </w:tc>
        <w:tc>
          <w:tcPr>
            <w:tcW w:w="1220" w:type="dxa"/>
            <w:tcBorders>
              <w:top w:val="nil"/>
              <w:left w:val="nil"/>
              <w:bottom w:val="single" w:sz="4" w:space="0" w:color="auto"/>
              <w:right w:val="single" w:sz="4" w:space="0" w:color="auto"/>
            </w:tcBorders>
            <w:shd w:val="clear" w:color="auto" w:fill="auto"/>
            <w:noWrap/>
            <w:vAlign w:val="bottom"/>
            <w:hideMark/>
          </w:tcPr>
          <w:p w:rsidR="00C07AF8" w:rsidRPr="00C07AF8" w:rsidRDefault="00C07AF8" w:rsidP="00C07AF8">
            <w:pPr>
              <w:jc w:val="center"/>
              <w:rPr>
                <w:sz w:val="24"/>
                <w:szCs w:val="24"/>
              </w:rPr>
            </w:pPr>
            <w:r w:rsidRPr="00C07AF8">
              <w:rPr>
                <w:sz w:val="24"/>
                <w:szCs w:val="24"/>
              </w:rPr>
              <w:t>2017</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b/>
                <w:bCs/>
                <w:sz w:val="24"/>
                <w:szCs w:val="24"/>
              </w:rPr>
            </w:pPr>
            <w:r w:rsidRPr="00C07AF8">
              <w:rPr>
                <w:b/>
                <w:bCs/>
                <w:sz w:val="24"/>
                <w:szCs w:val="24"/>
              </w:rPr>
              <w:t>Driftbudget</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sz w:val="24"/>
                <w:szCs w:val="24"/>
              </w:rPr>
            </w:pPr>
            <w:r w:rsidRPr="00C07AF8">
              <w:rPr>
                <w:sz w:val="24"/>
                <w:szCs w:val="24"/>
              </w:rPr>
              <w:t>Intäkter</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42 917</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jc w:val="right"/>
              <w:rPr>
                <w:sz w:val="24"/>
                <w:szCs w:val="24"/>
              </w:rPr>
            </w:pPr>
            <w:r w:rsidRPr="00C07AF8">
              <w:rPr>
                <w:sz w:val="24"/>
                <w:szCs w:val="24"/>
              </w:rPr>
              <w:t>14 749,0</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14 749</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14 749</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14 749</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sz w:val="24"/>
                <w:szCs w:val="24"/>
              </w:rPr>
            </w:pPr>
            <w:r w:rsidRPr="00C07AF8">
              <w:rPr>
                <w:sz w:val="24"/>
                <w:szCs w:val="24"/>
              </w:rPr>
              <w:t>Kostnader</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153 688</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jc w:val="right"/>
              <w:rPr>
                <w:sz w:val="24"/>
                <w:szCs w:val="24"/>
              </w:rPr>
            </w:pPr>
            <w:r w:rsidRPr="00C07AF8">
              <w:rPr>
                <w:sz w:val="24"/>
                <w:szCs w:val="24"/>
              </w:rPr>
              <w:t>126 614,2</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126 391</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126 353</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126 353</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i/>
                <w:iCs/>
                <w:sz w:val="24"/>
                <w:szCs w:val="24"/>
              </w:rPr>
            </w:pPr>
            <w:r w:rsidRPr="00C07AF8">
              <w:rPr>
                <w:i/>
                <w:iCs/>
                <w:sz w:val="24"/>
                <w:szCs w:val="24"/>
              </w:rPr>
              <w:t>Netto</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jc w:val="right"/>
              <w:rPr>
                <w:i/>
                <w:iCs/>
                <w:sz w:val="24"/>
                <w:szCs w:val="24"/>
              </w:rPr>
            </w:pPr>
            <w:r w:rsidRPr="00C07AF8">
              <w:rPr>
                <w:i/>
                <w:iCs/>
                <w:sz w:val="24"/>
                <w:szCs w:val="24"/>
              </w:rPr>
              <w:t>110 771</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i/>
                <w:iCs/>
                <w:sz w:val="24"/>
                <w:szCs w:val="24"/>
              </w:rPr>
            </w:pPr>
            <w:r w:rsidRPr="00C07AF8">
              <w:rPr>
                <w:i/>
                <w:iCs/>
                <w:sz w:val="24"/>
                <w:szCs w:val="24"/>
              </w:rPr>
              <w:t>111 865,2</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i/>
                <w:iCs/>
                <w:sz w:val="24"/>
                <w:szCs w:val="24"/>
              </w:rPr>
            </w:pPr>
            <w:r w:rsidRPr="00C07AF8">
              <w:rPr>
                <w:i/>
                <w:iCs/>
                <w:sz w:val="24"/>
                <w:szCs w:val="24"/>
              </w:rPr>
              <w:t>111 642</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i/>
                <w:iCs/>
                <w:sz w:val="24"/>
                <w:szCs w:val="24"/>
              </w:rPr>
            </w:pPr>
            <w:r w:rsidRPr="00C07AF8">
              <w:rPr>
                <w:i/>
                <w:iCs/>
                <w:sz w:val="24"/>
                <w:szCs w:val="24"/>
              </w:rPr>
              <w:t>111 604</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i/>
                <w:iCs/>
                <w:sz w:val="24"/>
                <w:szCs w:val="24"/>
              </w:rPr>
            </w:pPr>
            <w:r w:rsidRPr="00C07AF8">
              <w:rPr>
                <w:i/>
                <w:iCs/>
                <w:sz w:val="24"/>
                <w:szCs w:val="24"/>
              </w:rPr>
              <w:t>111 604</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b/>
                <w:bCs/>
                <w:sz w:val="24"/>
                <w:szCs w:val="24"/>
              </w:rPr>
            </w:pPr>
            <w:r w:rsidRPr="00C07AF8">
              <w:rPr>
                <w:b/>
                <w:bCs/>
                <w:sz w:val="24"/>
                <w:szCs w:val="24"/>
              </w:rPr>
              <w:t xml:space="preserve">Investeringar </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sz w:val="24"/>
                <w:szCs w:val="24"/>
              </w:rPr>
            </w:pPr>
            <w:r w:rsidRPr="00C07AF8">
              <w:rPr>
                <w:sz w:val="24"/>
                <w:szCs w:val="24"/>
              </w:rPr>
              <w:t>Inkomster</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rPr>
                <w:sz w:val="24"/>
                <w:szCs w:val="24"/>
              </w:rPr>
            </w:pP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sz w:val="24"/>
                <w:szCs w:val="24"/>
              </w:rPr>
            </w:pPr>
            <w:r w:rsidRPr="00C07AF8">
              <w:rPr>
                <w:sz w:val="24"/>
                <w:szCs w:val="24"/>
              </w:rPr>
              <w:t>Utgifter</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14 166,2</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jc w:val="right"/>
              <w:rPr>
                <w:sz w:val="24"/>
                <w:szCs w:val="24"/>
              </w:rPr>
            </w:pPr>
            <w:r w:rsidRPr="00C07AF8">
              <w:rPr>
                <w:sz w:val="24"/>
                <w:szCs w:val="24"/>
              </w:rPr>
              <w:t>55 367,9</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056945">
            <w:pPr>
              <w:jc w:val="right"/>
              <w:rPr>
                <w:sz w:val="24"/>
                <w:szCs w:val="24"/>
              </w:rPr>
            </w:pPr>
            <w:r w:rsidRPr="00C07AF8">
              <w:rPr>
                <w:sz w:val="24"/>
                <w:szCs w:val="24"/>
              </w:rPr>
              <w:t xml:space="preserve">82 </w:t>
            </w:r>
            <w:r w:rsidR="00056945">
              <w:rPr>
                <w:sz w:val="24"/>
                <w:szCs w:val="24"/>
              </w:rPr>
              <w:t>171</w:t>
            </w:r>
          </w:p>
        </w:tc>
        <w:tc>
          <w:tcPr>
            <w:tcW w:w="1220" w:type="dxa"/>
            <w:tcBorders>
              <w:top w:val="nil"/>
              <w:left w:val="nil"/>
              <w:bottom w:val="nil"/>
              <w:right w:val="nil"/>
            </w:tcBorders>
            <w:shd w:val="clear" w:color="auto" w:fill="auto"/>
            <w:noWrap/>
            <w:vAlign w:val="bottom"/>
            <w:hideMark/>
          </w:tcPr>
          <w:p w:rsidR="00C07AF8" w:rsidRPr="00C07AF8" w:rsidRDefault="00C07AF8" w:rsidP="00C07AF8">
            <w:pPr>
              <w:jc w:val="right"/>
              <w:rPr>
                <w:sz w:val="24"/>
                <w:szCs w:val="24"/>
              </w:rPr>
            </w:pPr>
            <w:r w:rsidRPr="00C07AF8">
              <w:rPr>
                <w:sz w:val="24"/>
                <w:szCs w:val="24"/>
              </w:rPr>
              <w:t>11 331</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jc w:val="right"/>
              <w:rPr>
                <w:sz w:val="24"/>
                <w:szCs w:val="24"/>
              </w:rPr>
            </w:pPr>
            <w:r w:rsidRPr="00C07AF8">
              <w:rPr>
                <w:sz w:val="24"/>
                <w:szCs w:val="24"/>
              </w:rPr>
              <w:t>6 631</w:t>
            </w:r>
          </w:p>
        </w:tc>
      </w:tr>
      <w:tr w:rsidR="00C07AF8" w:rsidRPr="00C07AF8" w:rsidTr="00C07AF8">
        <w:trPr>
          <w:trHeight w:val="315"/>
        </w:trPr>
        <w:tc>
          <w:tcPr>
            <w:tcW w:w="2780" w:type="dxa"/>
            <w:tcBorders>
              <w:top w:val="nil"/>
              <w:left w:val="single" w:sz="4" w:space="0" w:color="auto"/>
              <w:bottom w:val="nil"/>
              <w:right w:val="nil"/>
            </w:tcBorders>
            <w:shd w:val="clear" w:color="auto" w:fill="auto"/>
            <w:noWrap/>
            <w:vAlign w:val="bottom"/>
            <w:hideMark/>
          </w:tcPr>
          <w:p w:rsidR="00C07AF8" w:rsidRPr="00C07AF8" w:rsidRDefault="00C07AF8" w:rsidP="00C07AF8">
            <w:pPr>
              <w:rPr>
                <w:i/>
                <w:iCs/>
                <w:sz w:val="24"/>
                <w:szCs w:val="24"/>
              </w:rPr>
            </w:pPr>
            <w:r w:rsidRPr="00C07AF8">
              <w:rPr>
                <w:i/>
                <w:iCs/>
                <w:sz w:val="24"/>
                <w:szCs w:val="24"/>
              </w:rPr>
              <w:t>Netto</w:t>
            </w:r>
          </w:p>
        </w:tc>
        <w:tc>
          <w:tcPr>
            <w:tcW w:w="1220" w:type="dxa"/>
            <w:tcBorders>
              <w:top w:val="nil"/>
              <w:left w:val="single" w:sz="4" w:space="0" w:color="auto"/>
              <w:bottom w:val="nil"/>
              <w:right w:val="single" w:sz="4" w:space="0" w:color="auto"/>
            </w:tcBorders>
            <w:shd w:val="clear" w:color="auto" w:fill="auto"/>
            <w:noWrap/>
            <w:vAlign w:val="bottom"/>
            <w:hideMark/>
          </w:tcPr>
          <w:p w:rsidR="00C07AF8" w:rsidRPr="00C07AF8" w:rsidRDefault="00C07AF8" w:rsidP="00C07AF8">
            <w:pPr>
              <w:jc w:val="right"/>
              <w:rPr>
                <w:i/>
                <w:iCs/>
                <w:sz w:val="24"/>
                <w:szCs w:val="24"/>
              </w:rPr>
            </w:pPr>
            <w:r w:rsidRPr="00C07AF8">
              <w:rPr>
                <w:i/>
                <w:iCs/>
                <w:sz w:val="24"/>
                <w:szCs w:val="24"/>
              </w:rPr>
              <w:t>14 166,2</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i/>
                <w:iCs/>
                <w:sz w:val="24"/>
                <w:szCs w:val="24"/>
              </w:rPr>
            </w:pPr>
            <w:r w:rsidRPr="00C07AF8">
              <w:rPr>
                <w:i/>
                <w:iCs/>
                <w:sz w:val="24"/>
                <w:szCs w:val="24"/>
              </w:rPr>
              <w:t>55 367,9</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056945">
            <w:pPr>
              <w:jc w:val="right"/>
              <w:rPr>
                <w:i/>
                <w:iCs/>
                <w:sz w:val="24"/>
                <w:szCs w:val="24"/>
              </w:rPr>
            </w:pPr>
            <w:r w:rsidRPr="00C07AF8">
              <w:rPr>
                <w:i/>
                <w:iCs/>
                <w:sz w:val="24"/>
                <w:szCs w:val="24"/>
              </w:rPr>
              <w:t xml:space="preserve">82 </w:t>
            </w:r>
            <w:r w:rsidR="00056945">
              <w:rPr>
                <w:i/>
                <w:iCs/>
                <w:sz w:val="24"/>
                <w:szCs w:val="24"/>
              </w:rPr>
              <w:t>171</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i/>
                <w:iCs/>
                <w:sz w:val="24"/>
                <w:szCs w:val="24"/>
              </w:rPr>
            </w:pPr>
            <w:r w:rsidRPr="00C07AF8">
              <w:rPr>
                <w:i/>
                <w:iCs/>
                <w:sz w:val="24"/>
                <w:szCs w:val="24"/>
              </w:rPr>
              <w:t>11 331</w:t>
            </w:r>
          </w:p>
        </w:tc>
        <w:tc>
          <w:tcPr>
            <w:tcW w:w="1220" w:type="dxa"/>
            <w:tcBorders>
              <w:top w:val="nil"/>
              <w:left w:val="nil"/>
              <w:bottom w:val="nil"/>
              <w:right w:val="single" w:sz="4" w:space="0" w:color="auto"/>
            </w:tcBorders>
            <w:shd w:val="clear" w:color="auto" w:fill="auto"/>
            <w:noWrap/>
            <w:vAlign w:val="bottom"/>
            <w:hideMark/>
          </w:tcPr>
          <w:p w:rsidR="00C07AF8" w:rsidRPr="00C07AF8" w:rsidRDefault="00C07AF8" w:rsidP="00C07AF8">
            <w:pPr>
              <w:jc w:val="right"/>
              <w:rPr>
                <w:i/>
                <w:iCs/>
                <w:sz w:val="24"/>
                <w:szCs w:val="24"/>
              </w:rPr>
            </w:pPr>
            <w:r w:rsidRPr="00C07AF8">
              <w:rPr>
                <w:i/>
                <w:iCs/>
                <w:sz w:val="24"/>
                <w:szCs w:val="24"/>
              </w:rPr>
              <w:t>6 631</w:t>
            </w:r>
          </w:p>
        </w:tc>
      </w:tr>
      <w:tr w:rsidR="00C07AF8" w:rsidRPr="00C07AF8" w:rsidTr="00C07AF8">
        <w:trPr>
          <w:trHeight w:val="315"/>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single" w:sz="4" w:space="0" w:color="auto"/>
              <w:right w:val="nil"/>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single" w:sz="4" w:space="0" w:color="auto"/>
              <w:right w:val="nil"/>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c>
          <w:tcPr>
            <w:tcW w:w="1220" w:type="dxa"/>
            <w:tcBorders>
              <w:top w:val="nil"/>
              <w:left w:val="nil"/>
              <w:bottom w:val="single" w:sz="4" w:space="0" w:color="auto"/>
              <w:right w:val="single" w:sz="4" w:space="0" w:color="auto"/>
            </w:tcBorders>
            <w:shd w:val="clear" w:color="auto" w:fill="auto"/>
            <w:noWrap/>
            <w:vAlign w:val="bottom"/>
            <w:hideMark/>
          </w:tcPr>
          <w:p w:rsidR="00C07AF8" w:rsidRPr="00C07AF8" w:rsidRDefault="00C07AF8" w:rsidP="00C07AF8">
            <w:pPr>
              <w:rPr>
                <w:sz w:val="24"/>
                <w:szCs w:val="24"/>
              </w:rPr>
            </w:pPr>
            <w:r w:rsidRPr="00C07AF8">
              <w:rPr>
                <w:sz w:val="24"/>
                <w:szCs w:val="24"/>
              </w:rPr>
              <w:t> </w:t>
            </w:r>
          </w:p>
        </w:tc>
      </w:tr>
    </w:tbl>
    <w:p w:rsidR="00961120" w:rsidRDefault="00961120" w:rsidP="00961120"/>
    <w:p w:rsidR="00161C00" w:rsidRPr="00187FF1" w:rsidRDefault="00161C00" w:rsidP="00161C00">
      <w:pPr>
        <w:pStyle w:val="Rubrik2"/>
        <w:rPr>
          <w:sz w:val="20"/>
          <w:u w:val="none"/>
        </w:rPr>
      </w:pPr>
    </w:p>
    <w:p w:rsidR="00161C00" w:rsidRDefault="00161C00" w:rsidP="00161C00">
      <w:pPr>
        <w:pStyle w:val="Rubrik2"/>
        <w:rPr>
          <w:rFonts w:ascii="Gill Sans MT" w:hAnsi="Gill Sans MT"/>
          <w:sz w:val="28"/>
          <w:szCs w:val="28"/>
          <w:u w:val="none"/>
        </w:rPr>
      </w:pPr>
      <w:r w:rsidRPr="00F21187">
        <w:rPr>
          <w:rFonts w:ascii="Gill Sans MT" w:hAnsi="Gill Sans MT"/>
          <w:sz w:val="28"/>
          <w:szCs w:val="28"/>
          <w:u w:val="none"/>
        </w:rPr>
        <w:t>Bilagor:</w:t>
      </w:r>
      <w:bookmarkStart w:id="0" w:name="_GoBack"/>
      <w:bookmarkEnd w:id="0"/>
    </w:p>
    <w:p w:rsidR="004875CE" w:rsidRPr="009F4306" w:rsidRDefault="004875CE" w:rsidP="00D64A9B">
      <w:pPr>
        <w:pStyle w:val="Liststycke"/>
        <w:numPr>
          <w:ilvl w:val="0"/>
          <w:numId w:val="3"/>
        </w:numPr>
        <w:rPr>
          <w:sz w:val="22"/>
          <w:szCs w:val="22"/>
        </w:rPr>
      </w:pPr>
      <w:r w:rsidRPr="009F4306">
        <w:rPr>
          <w:sz w:val="22"/>
          <w:szCs w:val="22"/>
        </w:rPr>
        <w:t xml:space="preserve">Nyckeltal för övergripande och </w:t>
      </w:r>
      <w:proofErr w:type="spellStart"/>
      <w:r w:rsidRPr="009F4306">
        <w:rPr>
          <w:sz w:val="22"/>
          <w:szCs w:val="22"/>
        </w:rPr>
        <w:t>nämndsmål</w:t>
      </w:r>
      <w:proofErr w:type="spellEnd"/>
      <w:r w:rsidR="00CF24F0">
        <w:rPr>
          <w:sz w:val="22"/>
          <w:szCs w:val="22"/>
        </w:rPr>
        <w:t xml:space="preserve"> – </w:t>
      </w:r>
      <w:r w:rsidR="00CF24F0" w:rsidRPr="009A5007">
        <w:rPr>
          <w:sz w:val="22"/>
          <w:szCs w:val="22"/>
        </w:rPr>
        <w:t>Inga förändringar från VEP 2013</w:t>
      </w:r>
    </w:p>
    <w:p w:rsidR="00161C00" w:rsidRPr="009F4306" w:rsidRDefault="00161C00" w:rsidP="00D64A9B">
      <w:pPr>
        <w:pStyle w:val="Liststycke"/>
        <w:numPr>
          <w:ilvl w:val="0"/>
          <w:numId w:val="3"/>
        </w:numPr>
        <w:rPr>
          <w:sz w:val="22"/>
          <w:szCs w:val="22"/>
        </w:rPr>
      </w:pPr>
      <w:r w:rsidRPr="009F4306">
        <w:rPr>
          <w:sz w:val="22"/>
          <w:szCs w:val="22"/>
        </w:rPr>
        <w:t>Investering</w:t>
      </w:r>
      <w:r w:rsidR="001D3F02" w:rsidRPr="009F4306">
        <w:rPr>
          <w:sz w:val="22"/>
          <w:szCs w:val="22"/>
        </w:rPr>
        <w:t xml:space="preserve">ar </w:t>
      </w:r>
      <w:r w:rsidRPr="009F4306">
        <w:rPr>
          <w:sz w:val="22"/>
          <w:szCs w:val="22"/>
        </w:rPr>
        <w:t>med prio</w:t>
      </w:r>
      <w:r w:rsidR="00773D1E" w:rsidRPr="009F4306">
        <w:rPr>
          <w:sz w:val="22"/>
          <w:szCs w:val="22"/>
        </w:rPr>
        <w:t>rite</w:t>
      </w:r>
      <w:r w:rsidR="001D3F02" w:rsidRPr="009F4306">
        <w:rPr>
          <w:sz w:val="22"/>
          <w:szCs w:val="22"/>
        </w:rPr>
        <w:t>rings</w:t>
      </w:r>
      <w:r w:rsidRPr="009F4306">
        <w:rPr>
          <w:sz w:val="22"/>
          <w:szCs w:val="22"/>
        </w:rPr>
        <w:t>ordning, belopp och effekter utifrån de strategiska områdena.</w:t>
      </w:r>
    </w:p>
    <w:p w:rsidR="00D64A9B" w:rsidRPr="005E328E" w:rsidRDefault="00773D1E" w:rsidP="00724B20">
      <w:pPr>
        <w:pStyle w:val="Liststycke"/>
        <w:numPr>
          <w:ilvl w:val="0"/>
          <w:numId w:val="3"/>
        </w:numPr>
        <w:rPr>
          <w:sz w:val="22"/>
          <w:szCs w:val="22"/>
        </w:rPr>
      </w:pPr>
      <w:r w:rsidRPr="005E328E">
        <w:rPr>
          <w:sz w:val="22"/>
          <w:szCs w:val="22"/>
        </w:rPr>
        <w:t>P</w:t>
      </w:r>
      <w:r w:rsidR="00A22915" w:rsidRPr="005E328E">
        <w:rPr>
          <w:sz w:val="22"/>
          <w:szCs w:val="22"/>
        </w:rPr>
        <w:t>riskompensation.</w:t>
      </w:r>
    </w:p>
    <w:sectPr w:rsidR="00D64A9B" w:rsidRPr="005E328E" w:rsidSect="00161C00">
      <w:headerReference w:type="default" r:id="rId9"/>
      <w:pgSz w:w="11906" w:h="16838"/>
      <w:pgMar w:top="1701" w:right="127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FA" w:rsidRDefault="00361DFA" w:rsidP="00161C00">
      <w:r>
        <w:separator/>
      </w:r>
    </w:p>
  </w:endnote>
  <w:endnote w:type="continuationSeparator" w:id="0">
    <w:p w:rsidR="00361DFA" w:rsidRDefault="00361DFA" w:rsidP="0016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FA" w:rsidRDefault="00361DFA" w:rsidP="00161C00">
      <w:r>
        <w:separator/>
      </w:r>
    </w:p>
  </w:footnote>
  <w:footnote w:type="continuationSeparator" w:id="0">
    <w:p w:rsidR="00361DFA" w:rsidRDefault="00361DFA" w:rsidP="00161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75A" w:rsidRPr="009858E3" w:rsidRDefault="00EA575A">
    <w:pPr>
      <w:pStyle w:val="Sidhuvud"/>
      <w:rPr>
        <w:rFonts w:ascii="Gill Sans MT" w:hAnsi="Gill Sans MT" w:cs="Arial"/>
        <w:sz w:val="24"/>
        <w:szCs w:val="24"/>
      </w:rPr>
    </w:pPr>
    <w:r>
      <w:tab/>
    </w:r>
    <w:r>
      <w:rPr>
        <w:rFonts w:ascii="Gill Sans MT" w:hAnsi="Gill Sans MT" w:cs="Arial"/>
        <w:sz w:val="24"/>
        <w:szCs w:val="24"/>
      </w:rPr>
      <w:t>Kultur- och fritids</w:t>
    </w:r>
    <w:r w:rsidRPr="009858E3">
      <w:rPr>
        <w:rFonts w:ascii="Gill Sans MT" w:hAnsi="Gill Sans MT" w:cs="Arial"/>
        <w:sz w:val="24"/>
        <w:szCs w:val="24"/>
      </w:rPr>
      <w:t>nämnden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1410"/>
    <w:multiLevelType w:val="hybridMultilevel"/>
    <w:tmpl w:val="C27CA63A"/>
    <w:lvl w:ilvl="0" w:tplc="744E71FC">
      <w:start w:val="1"/>
      <w:numFmt w:val="bullet"/>
      <w:lvlText w:val="-"/>
      <w:lvlJc w:val="left"/>
      <w:pPr>
        <w:tabs>
          <w:tab w:val="num" w:pos="720"/>
        </w:tabs>
        <w:ind w:left="720" w:hanging="360"/>
      </w:pPr>
      <w:rPr>
        <w:rFonts w:ascii="Times New Roman" w:hAnsi="Times New Roman" w:hint="default"/>
      </w:rPr>
    </w:lvl>
    <w:lvl w:ilvl="1" w:tplc="548A999C" w:tentative="1">
      <w:start w:val="1"/>
      <w:numFmt w:val="bullet"/>
      <w:lvlText w:val="-"/>
      <w:lvlJc w:val="left"/>
      <w:pPr>
        <w:tabs>
          <w:tab w:val="num" w:pos="1440"/>
        </w:tabs>
        <w:ind w:left="1440" w:hanging="360"/>
      </w:pPr>
      <w:rPr>
        <w:rFonts w:ascii="Times New Roman" w:hAnsi="Times New Roman" w:hint="default"/>
      </w:rPr>
    </w:lvl>
    <w:lvl w:ilvl="2" w:tplc="A4E21934" w:tentative="1">
      <w:start w:val="1"/>
      <w:numFmt w:val="bullet"/>
      <w:lvlText w:val="-"/>
      <w:lvlJc w:val="left"/>
      <w:pPr>
        <w:tabs>
          <w:tab w:val="num" w:pos="2160"/>
        </w:tabs>
        <w:ind w:left="2160" w:hanging="360"/>
      </w:pPr>
      <w:rPr>
        <w:rFonts w:ascii="Times New Roman" w:hAnsi="Times New Roman" w:hint="default"/>
      </w:rPr>
    </w:lvl>
    <w:lvl w:ilvl="3" w:tplc="4B0807C8" w:tentative="1">
      <w:start w:val="1"/>
      <w:numFmt w:val="bullet"/>
      <w:lvlText w:val="-"/>
      <w:lvlJc w:val="left"/>
      <w:pPr>
        <w:tabs>
          <w:tab w:val="num" w:pos="2880"/>
        </w:tabs>
        <w:ind w:left="2880" w:hanging="360"/>
      </w:pPr>
      <w:rPr>
        <w:rFonts w:ascii="Times New Roman" w:hAnsi="Times New Roman" w:hint="default"/>
      </w:rPr>
    </w:lvl>
    <w:lvl w:ilvl="4" w:tplc="DA72DF64" w:tentative="1">
      <w:start w:val="1"/>
      <w:numFmt w:val="bullet"/>
      <w:lvlText w:val="-"/>
      <w:lvlJc w:val="left"/>
      <w:pPr>
        <w:tabs>
          <w:tab w:val="num" w:pos="3600"/>
        </w:tabs>
        <w:ind w:left="3600" w:hanging="360"/>
      </w:pPr>
      <w:rPr>
        <w:rFonts w:ascii="Times New Roman" w:hAnsi="Times New Roman" w:hint="default"/>
      </w:rPr>
    </w:lvl>
    <w:lvl w:ilvl="5" w:tplc="9CBC6634" w:tentative="1">
      <w:start w:val="1"/>
      <w:numFmt w:val="bullet"/>
      <w:lvlText w:val="-"/>
      <w:lvlJc w:val="left"/>
      <w:pPr>
        <w:tabs>
          <w:tab w:val="num" w:pos="4320"/>
        </w:tabs>
        <w:ind w:left="4320" w:hanging="360"/>
      </w:pPr>
      <w:rPr>
        <w:rFonts w:ascii="Times New Roman" w:hAnsi="Times New Roman" w:hint="default"/>
      </w:rPr>
    </w:lvl>
    <w:lvl w:ilvl="6" w:tplc="5FAE1FA6" w:tentative="1">
      <w:start w:val="1"/>
      <w:numFmt w:val="bullet"/>
      <w:lvlText w:val="-"/>
      <w:lvlJc w:val="left"/>
      <w:pPr>
        <w:tabs>
          <w:tab w:val="num" w:pos="5040"/>
        </w:tabs>
        <w:ind w:left="5040" w:hanging="360"/>
      </w:pPr>
      <w:rPr>
        <w:rFonts w:ascii="Times New Roman" w:hAnsi="Times New Roman" w:hint="default"/>
      </w:rPr>
    </w:lvl>
    <w:lvl w:ilvl="7" w:tplc="A8B0F548" w:tentative="1">
      <w:start w:val="1"/>
      <w:numFmt w:val="bullet"/>
      <w:lvlText w:val="-"/>
      <w:lvlJc w:val="left"/>
      <w:pPr>
        <w:tabs>
          <w:tab w:val="num" w:pos="5760"/>
        </w:tabs>
        <w:ind w:left="5760" w:hanging="360"/>
      </w:pPr>
      <w:rPr>
        <w:rFonts w:ascii="Times New Roman" w:hAnsi="Times New Roman" w:hint="default"/>
      </w:rPr>
    </w:lvl>
    <w:lvl w:ilvl="8" w:tplc="6AB8AE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E1F3FCF"/>
    <w:multiLevelType w:val="hybridMultilevel"/>
    <w:tmpl w:val="16A660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0BE4A58"/>
    <w:multiLevelType w:val="hybridMultilevel"/>
    <w:tmpl w:val="929AA5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2A926AF7"/>
    <w:multiLevelType w:val="hybridMultilevel"/>
    <w:tmpl w:val="8A78A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411A6C"/>
    <w:multiLevelType w:val="hybridMultilevel"/>
    <w:tmpl w:val="F0720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B9D372D"/>
    <w:multiLevelType w:val="hybridMultilevel"/>
    <w:tmpl w:val="24BA6FB4"/>
    <w:lvl w:ilvl="0" w:tplc="B218CB0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nsid w:val="3D8A0DC5"/>
    <w:multiLevelType w:val="hybridMultilevel"/>
    <w:tmpl w:val="CC26863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47D74A98"/>
    <w:multiLevelType w:val="hybridMultilevel"/>
    <w:tmpl w:val="EFB8182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4A22438E"/>
    <w:multiLevelType w:val="hybridMultilevel"/>
    <w:tmpl w:val="5DA63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D46874"/>
    <w:multiLevelType w:val="hybridMultilevel"/>
    <w:tmpl w:val="08ECC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7D669B"/>
    <w:multiLevelType w:val="hybridMultilevel"/>
    <w:tmpl w:val="3CEC78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6B893909"/>
    <w:multiLevelType w:val="hybridMultilevel"/>
    <w:tmpl w:val="54DC0D2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nsid w:val="78C32183"/>
    <w:multiLevelType w:val="hybridMultilevel"/>
    <w:tmpl w:val="8CD2EE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nsid w:val="79186059"/>
    <w:multiLevelType w:val="hybridMultilevel"/>
    <w:tmpl w:val="12FA6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10"/>
  </w:num>
  <w:num w:numId="6">
    <w:abstractNumId w:val="7"/>
  </w:num>
  <w:num w:numId="7">
    <w:abstractNumId w:val="6"/>
  </w:num>
  <w:num w:numId="8">
    <w:abstractNumId w:val="2"/>
  </w:num>
  <w:num w:numId="9">
    <w:abstractNumId w:val="12"/>
  </w:num>
  <w:num w:numId="10">
    <w:abstractNumId w:val="11"/>
  </w:num>
  <w:num w:numId="11">
    <w:abstractNumId w:val="3"/>
  </w:num>
  <w:num w:numId="12">
    <w:abstractNumId w:val="8"/>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00"/>
    <w:rsid w:val="0002651D"/>
    <w:rsid w:val="00027903"/>
    <w:rsid w:val="00036DFC"/>
    <w:rsid w:val="00042621"/>
    <w:rsid w:val="00045DDC"/>
    <w:rsid w:val="00056945"/>
    <w:rsid w:val="00061772"/>
    <w:rsid w:val="0006320B"/>
    <w:rsid w:val="00082AC3"/>
    <w:rsid w:val="000A618D"/>
    <w:rsid w:val="000B499F"/>
    <w:rsid w:val="000D353B"/>
    <w:rsid w:val="00124619"/>
    <w:rsid w:val="00161C00"/>
    <w:rsid w:val="00167DCA"/>
    <w:rsid w:val="00180929"/>
    <w:rsid w:val="0018094A"/>
    <w:rsid w:val="00182643"/>
    <w:rsid w:val="00187FF1"/>
    <w:rsid w:val="001B4F6A"/>
    <w:rsid w:val="001D0E62"/>
    <w:rsid w:val="001D36EF"/>
    <w:rsid w:val="001D3F02"/>
    <w:rsid w:val="001E2680"/>
    <w:rsid w:val="001F1E47"/>
    <w:rsid w:val="002009C6"/>
    <w:rsid w:val="00214373"/>
    <w:rsid w:val="0021591A"/>
    <w:rsid w:val="00221FDE"/>
    <w:rsid w:val="002268CB"/>
    <w:rsid w:val="00246FDC"/>
    <w:rsid w:val="002657B4"/>
    <w:rsid w:val="00286A70"/>
    <w:rsid w:val="002975EA"/>
    <w:rsid w:val="002C11CA"/>
    <w:rsid w:val="002C4C6D"/>
    <w:rsid w:val="002C7EC9"/>
    <w:rsid w:val="00301266"/>
    <w:rsid w:val="00314D08"/>
    <w:rsid w:val="00361DFA"/>
    <w:rsid w:val="00371D24"/>
    <w:rsid w:val="0037518A"/>
    <w:rsid w:val="0038364D"/>
    <w:rsid w:val="00391844"/>
    <w:rsid w:val="003A1C9D"/>
    <w:rsid w:val="003A7B70"/>
    <w:rsid w:val="003B21E5"/>
    <w:rsid w:val="003C4DB8"/>
    <w:rsid w:val="003C7E4C"/>
    <w:rsid w:val="003D297D"/>
    <w:rsid w:val="003E2D58"/>
    <w:rsid w:val="003F21A4"/>
    <w:rsid w:val="00404F24"/>
    <w:rsid w:val="00410734"/>
    <w:rsid w:val="004208D2"/>
    <w:rsid w:val="0042239E"/>
    <w:rsid w:val="00426414"/>
    <w:rsid w:val="0042768C"/>
    <w:rsid w:val="0046196E"/>
    <w:rsid w:val="00462101"/>
    <w:rsid w:val="004815E9"/>
    <w:rsid w:val="004875CE"/>
    <w:rsid w:val="004970F3"/>
    <w:rsid w:val="004A0766"/>
    <w:rsid w:val="004A2854"/>
    <w:rsid w:val="004B218A"/>
    <w:rsid w:val="004D0B92"/>
    <w:rsid w:val="004D3787"/>
    <w:rsid w:val="004D4472"/>
    <w:rsid w:val="004E37F4"/>
    <w:rsid w:val="004E5FAE"/>
    <w:rsid w:val="0050355C"/>
    <w:rsid w:val="00512DCA"/>
    <w:rsid w:val="00513B12"/>
    <w:rsid w:val="00517A1E"/>
    <w:rsid w:val="00523BB0"/>
    <w:rsid w:val="00545CEB"/>
    <w:rsid w:val="005A23B2"/>
    <w:rsid w:val="005D4415"/>
    <w:rsid w:val="005E328E"/>
    <w:rsid w:val="005F6700"/>
    <w:rsid w:val="00601371"/>
    <w:rsid w:val="00615194"/>
    <w:rsid w:val="00636A9C"/>
    <w:rsid w:val="006531B9"/>
    <w:rsid w:val="00664604"/>
    <w:rsid w:val="00692FE5"/>
    <w:rsid w:val="006A6556"/>
    <w:rsid w:val="006C2296"/>
    <w:rsid w:val="006D1731"/>
    <w:rsid w:val="006E065A"/>
    <w:rsid w:val="006E2AA2"/>
    <w:rsid w:val="006E4521"/>
    <w:rsid w:val="006E78F7"/>
    <w:rsid w:val="006F0D77"/>
    <w:rsid w:val="006F2D96"/>
    <w:rsid w:val="00716E6D"/>
    <w:rsid w:val="00717CF0"/>
    <w:rsid w:val="00724B20"/>
    <w:rsid w:val="00737AB5"/>
    <w:rsid w:val="00743E23"/>
    <w:rsid w:val="007676BB"/>
    <w:rsid w:val="00772572"/>
    <w:rsid w:val="00773D1E"/>
    <w:rsid w:val="007758EF"/>
    <w:rsid w:val="00795970"/>
    <w:rsid w:val="007B316B"/>
    <w:rsid w:val="007E1FB2"/>
    <w:rsid w:val="00817833"/>
    <w:rsid w:val="00821C4C"/>
    <w:rsid w:val="00831C85"/>
    <w:rsid w:val="008361BE"/>
    <w:rsid w:val="00847A3C"/>
    <w:rsid w:val="00851BA1"/>
    <w:rsid w:val="00865E45"/>
    <w:rsid w:val="0089358A"/>
    <w:rsid w:val="008C2FDD"/>
    <w:rsid w:val="008D5ECE"/>
    <w:rsid w:val="008D71EC"/>
    <w:rsid w:val="00954E82"/>
    <w:rsid w:val="00961120"/>
    <w:rsid w:val="009757EF"/>
    <w:rsid w:val="009858E3"/>
    <w:rsid w:val="00993AB9"/>
    <w:rsid w:val="009A5007"/>
    <w:rsid w:val="009B5879"/>
    <w:rsid w:val="009E3BBE"/>
    <w:rsid w:val="009E6C5E"/>
    <w:rsid w:val="009F4306"/>
    <w:rsid w:val="00A04186"/>
    <w:rsid w:val="00A22915"/>
    <w:rsid w:val="00A81964"/>
    <w:rsid w:val="00A9289D"/>
    <w:rsid w:val="00A96B6E"/>
    <w:rsid w:val="00AA3B88"/>
    <w:rsid w:val="00AA5CA5"/>
    <w:rsid w:val="00AB18DE"/>
    <w:rsid w:val="00AC20F3"/>
    <w:rsid w:val="00AD5462"/>
    <w:rsid w:val="00AE05F9"/>
    <w:rsid w:val="00B04A38"/>
    <w:rsid w:val="00B16D44"/>
    <w:rsid w:val="00B23C50"/>
    <w:rsid w:val="00B5770C"/>
    <w:rsid w:val="00B61F5B"/>
    <w:rsid w:val="00B70736"/>
    <w:rsid w:val="00B83F89"/>
    <w:rsid w:val="00B879F7"/>
    <w:rsid w:val="00BC0308"/>
    <w:rsid w:val="00BC2CD7"/>
    <w:rsid w:val="00BD0E7E"/>
    <w:rsid w:val="00BD4404"/>
    <w:rsid w:val="00BF2FC4"/>
    <w:rsid w:val="00BF333E"/>
    <w:rsid w:val="00BF4D56"/>
    <w:rsid w:val="00BF5B33"/>
    <w:rsid w:val="00BF6B35"/>
    <w:rsid w:val="00C07AF8"/>
    <w:rsid w:val="00C20407"/>
    <w:rsid w:val="00C42E17"/>
    <w:rsid w:val="00C55581"/>
    <w:rsid w:val="00C82854"/>
    <w:rsid w:val="00C9495C"/>
    <w:rsid w:val="00CA69D9"/>
    <w:rsid w:val="00CB511C"/>
    <w:rsid w:val="00CD1DEE"/>
    <w:rsid w:val="00CE12FF"/>
    <w:rsid w:val="00CE3361"/>
    <w:rsid w:val="00CF24F0"/>
    <w:rsid w:val="00CF6D98"/>
    <w:rsid w:val="00D06814"/>
    <w:rsid w:val="00D16767"/>
    <w:rsid w:val="00D30A0D"/>
    <w:rsid w:val="00D34F4A"/>
    <w:rsid w:val="00D458C1"/>
    <w:rsid w:val="00D56787"/>
    <w:rsid w:val="00D64A9B"/>
    <w:rsid w:val="00D7755E"/>
    <w:rsid w:val="00DA4513"/>
    <w:rsid w:val="00DA771C"/>
    <w:rsid w:val="00DB2728"/>
    <w:rsid w:val="00DB46E6"/>
    <w:rsid w:val="00DB7B8A"/>
    <w:rsid w:val="00DC4D99"/>
    <w:rsid w:val="00DE238E"/>
    <w:rsid w:val="00DE3DDD"/>
    <w:rsid w:val="00DE7D87"/>
    <w:rsid w:val="00DF0594"/>
    <w:rsid w:val="00DF6624"/>
    <w:rsid w:val="00E07D8C"/>
    <w:rsid w:val="00E15DF4"/>
    <w:rsid w:val="00E176C5"/>
    <w:rsid w:val="00E331A6"/>
    <w:rsid w:val="00E52E11"/>
    <w:rsid w:val="00E62D08"/>
    <w:rsid w:val="00E81BE0"/>
    <w:rsid w:val="00E830FD"/>
    <w:rsid w:val="00E90335"/>
    <w:rsid w:val="00EA1334"/>
    <w:rsid w:val="00EA575A"/>
    <w:rsid w:val="00EB3567"/>
    <w:rsid w:val="00EB52BE"/>
    <w:rsid w:val="00EB7F37"/>
    <w:rsid w:val="00EC0186"/>
    <w:rsid w:val="00ED453C"/>
    <w:rsid w:val="00ED5740"/>
    <w:rsid w:val="00EF7769"/>
    <w:rsid w:val="00F00931"/>
    <w:rsid w:val="00F01F65"/>
    <w:rsid w:val="00F11C74"/>
    <w:rsid w:val="00F2075D"/>
    <w:rsid w:val="00F61FE6"/>
    <w:rsid w:val="00F93D95"/>
    <w:rsid w:val="00FB05A1"/>
    <w:rsid w:val="00FB0C5E"/>
    <w:rsid w:val="00FD2EAC"/>
    <w:rsid w:val="00FF2520"/>
    <w:rsid w:val="00FF3189"/>
    <w:rsid w:val="00FF3BD2"/>
    <w:rsid w:val="00FF472F"/>
    <w:rsid w:val="00FF4FC4"/>
    <w:rsid w:val="00FF7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00"/>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161C00"/>
    <w:pPr>
      <w:keepNext/>
      <w:tabs>
        <w:tab w:val="left" w:pos="6804"/>
      </w:tabs>
      <w:outlineLvl w:val="0"/>
    </w:pPr>
    <w:rPr>
      <w:sz w:val="28"/>
    </w:rPr>
  </w:style>
  <w:style w:type="paragraph" w:styleId="Rubrik2">
    <w:name w:val="heading 2"/>
    <w:basedOn w:val="Normal"/>
    <w:next w:val="Normal"/>
    <w:link w:val="Rubrik2Char"/>
    <w:qFormat/>
    <w:rsid w:val="00161C00"/>
    <w:pPr>
      <w:keepNext/>
      <w:tabs>
        <w:tab w:val="left" w:pos="6804"/>
        <w:tab w:val="left" w:pos="8789"/>
      </w:tabs>
      <w:outlineLvl w:val="1"/>
    </w:pPr>
    <w:rPr>
      <w:sz w:val="40"/>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1C00"/>
    <w:pPr>
      <w:tabs>
        <w:tab w:val="center" w:pos="4536"/>
        <w:tab w:val="right" w:pos="9072"/>
      </w:tabs>
    </w:pPr>
  </w:style>
  <w:style w:type="character" w:customStyle="1" w:styleId="SidhuvudChar">
    <w:name w:val="Sidhuvud Char"/>
    <w:basedOn w:val="Standardstycketeckensnitt"/>
    <w:link w:val="Sidhuvud"/>
    <w:uiPriority w:val="99"/>
    <w:rsid w:val="00161C00"/>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161C00"/>
    <w:pPr>
      <w:tabs>
        <w:tab w:val="center" w:pos="4536"/>
        <w:tab w:val="right" w:pos="9072"/>
      </w:tabs>
    </w:pPr>
  </w:style>
  <w:style w:type="character" w:customStyle="1" w:styleId="SidfotChar">
    <w:name w:val="Sidfot Char"/>
    <w:basedOn w:val="Standardstycketeckensnitt"/>
    <w:link w:val="Sidfot"/>
    <w:uiPriority w:val="99"/>
    <w:rsid w:val="00161C0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161C00"/>
    <w:rPr>
      <w:rFonts w:ascii="Tahoma" w:hAnsi="Tahoma" w:cs="Tahoma"/>
      <w:sz w:val="16"/>
      <w:szCs w:val="16"/>
    </w:rPr>
  </w:style>
  <w:style w:type="character" w:customStyle="1" w:styleId="BallongtextChar">
    <w:name w:val="Ballongtext Char"/>
    <w:basedOn w:val="Standardstycketeckensnitt"/>
    <w:link w:val="Ballongtext"/>
    <w:uiPriority w:val="99"/>
    <w:semiHidden/>
    <w:rsid w:val="00161C00"/>
    <w:rPr>
      <w:rFonts w:ascii="Tahoma" w:eastAsia="Times New Roman" w:hAnsi="Tahoma" w:cs="Tahoma"/>
      <w:sz w:val="16"/>
      <w:szCs w:val="16"/>
      <w:lang w:eastAsia="sv-SE"/>
    </w:rPr>
  </w:style>
  <w:style w:type="character" w:customStyle="1" w:styleId="Rubrik1Char">
    <w:name w:val="Rubrik 1 Char"/>
    <w:basedOn w:val="Standardstycketeckensnitt"/>
    <w:link w:val="Rubrik1"/>
    <w:rsid w:val="00161C00"/>
    <w:rPr>
      <w:rFonts w:ascii="Times New Roman" w:eastAsia="Times New Roman" w:hAnsi="Times New Roman" w:cs="Times New Roman"/>
      <w:sz w:val="28"/>
      <w:szCs w:val="20"/>
      <w:lang w:eastAsia="sv-SE"/>
    </w:rPr>
  </w:style>
  <w:style w:type="character" w:customStyle="1" w:styleId="Rubrik2Char">
    <w:name w:val="Rubrik 2 Char"/>
    <w:basedOn w:val="Standardstycketeckensnitt"/>
    <w:link w:val="Rubrik2"/>
    <w:rsid w:val="00161C00"/>
    <w:rPr>
      <w:rFonts w:ascii="Times New Roman" w:eastAsia="Times New Roman" w:hAnsi="Times New Roman" w:cs="Times New Roman"/>
      <w:sz w:val="40"/>
      <w:szCs w:val="20"/>
      <w:u w:val="single"/>
      <w:lang w:eastAsia="sv-SE"/>
    </w:rPr>
  </w:style>
  <w:style w:type="table" w:styleId="Tabellrutnt">
    <w:name w:val="Table Grid"/>
    <w:basedOn w:val="Normaltabell"/>
    <w:rsid w:val="00161C00"/>
    <w:pPr>
      <w:spacing w:after="0" w:line="240"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161C00"/>
    <w:pPr>
      <w:ind w:left="1304"/>
    </w:pPr>
  </w:style>
  <w:style w:type="paragraph" w:customStyle="1" w:styleId="Default">
    <w:name w:val="Default"/>
    <w:rsid w:val="00D0681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00"/>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161C00"/>
    <w:pPr>
      <w:keepNext/>
      <w:tabs>
        <w:tab w:val="left" w:pos="6804"/>
      </w:tabs>
      <w:outlineLvl w:val="0"/>
    </w:pPr>
    <w:rPr>
      <w:sz w:val="28"/>
    </w:rPr>
  </w:style>
  <w:style w:type="paragraph" w:styleId="Rubrik2">
    <w:name w:val="heading 2"/>
    <w:basedOn w:val="Normal"/>
    <w:next w:val="Normal"/>
    <w:link w:val="Rubrik2Char"/>
    <w:qFormat/>
    <w:rsid w:val="00161C00"/>
    <w:pPr>
      <w:keepNext/>
      <w:tabs>
        <w:tab w:val="left" w:pos="6804"/>
        <w:tab w:val="left" w:pos="8789"/>
      </w:tabs>
      <w:outlineLvl w:val="1"/>
    </w:pPr>
    <w:rPr>
      <w:sz w:val="40"/>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1C00"/>
    <w:pPr>
      <w:tabs>
        <w:tab w:val="center" w:pos="4536"/>
        <w:tab w:val="right" w:pos="9072"/>
      </w:tabs>
    </w:pPr>
  </w:style>
  <w:style w:type="character" w:customStyle="1" w:styleId="SidhuvudChar">
    <w:name w:val="Sidhuvud Char"/>
    <w:basedOn w:val="Standardstycketeckensnitt"/>
    <w:link w:val="Sidhuvud"/>
    <w:uiPriority w:val="99"/>
    <w:rsid w:val="00161C00"/>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161C00"/>
    <w:pPr>
      <w:tabs>
        <w:tab w:val="center" w:pos="4536"/>
        <w:tab w:val="right" w:pos="9072"/>
      </w:tabs>
    </w:pPr>
  </w:style>
  <w:style w:type="character" w:customStyle="1" w:styleId="SidfotChar">
    <w:name w:val="Sidfot Char"/>
    <w:basedOn w:val="Standardstycketeckensnitt"/>
    <w:link w:val="Sidfot"/>
    <w:uiPriority w:val="99"/>
    <w:rsid w:val="00161C0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161C00"/>
    <w:rPr>
      <w:rFonts w:ascii="Tahoma" w:hAnsi="Tahoma" w:cs="Tahoma"/>
      <w:sz w:val="16"/>
      <w:szCs w:val="16"/>
    </w:rPr>
  </w:style>
  <w:style w:type="character" w:customStyle="1" w:styleId="BallongtextChar">
    <w:name w:val="Ballongtext Char"/>
    <w:basedOn w:val="Standardstycketeckensnitt"/>
    <w:link w:val="Ballongtext"/>
    <w:uiPriority w:val="99"/>
    <w:semiHidden/>
    <w:rsid w:val="00161C00"/>
    <w:rPr>
      <w:rFonts w:ascii="Tahoma" w:eastAsia="Times New Roman" w:hAnsi="Tahoma" w:cs="Tahoma"/>
      <w:sz w:val="16"/>
      <w:szCs w:val="16"/>
      <w:lang w:eastAsia="sv-SE"/>
    </w:rPr>
  </w:style>
  <w:style w:type="character" w:customStyle="1" w:styleId="Rubrik1Char">
    <w:name w:val="Rubrik 1 Char"/>
    <w:basedOn w:val="Standardstycketeckensnitt"/>
    <w:link w:val="Rubrik1"/>
    <w:rsid w:val="00161C00"/>
    <w:rPr>
      <w:rFonts w:ascii="Times New Roman" w:eastAsia="Times New Roman" w:hAnsi="Times New Roman" w:cs="Times New Roman"/>
      <w:sz w:val="28"/>
      <w:szCs w:val="20"/>
      <w:lang w:eastAsia="sv-SE"/>
    </w:rPr>
  </w:style>
  <w:style w:type="character" w:customStyle="1" w:styleId="Rubrik2Char">
    <w:name w:val="Rubrik 2 Char"/>
    <w:basedOn w:val="Standardstycketeckensnitt"/>
    <w:link w:val="Rubrik2"/>
    <w:rsid w:val="00161C00"/>
    <w:rPr>
      <w:rFonts w:ascii="Times New Roman" w:eastAsia="Times New Roman" w:hAnsi="Times New Roman" w:cs="Times New Roman"/>
      <w:sz w:val="40"/>
      <w:szCs w:val="20"/>
      <w:u w:val="single"/>
      <w:lang w:eastAsia="sv-SE"/>
    </w:rPr>
  </w:style>
  <w:style w:type="table" w:styleId="Tabellrutnt">
    <w:name w:val="Table Grid"/>
    <w:basedOn w:val="Normaltabell"/>
    <w:rsid w:val="00161C00"/>
    <w:pPr>
      <w:spacing w:after="0" w:line="240" w:lineRule="auto"/>
    </w:pPr>
    <w:rPr>
      <w:rFonts w:ascii="Times New Roman" w:eastAsia="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161C00"/>
    <w:pPr>
      <w:ind w:left="1304"/>
    </w:pPr>
  </w:style>
  <w:style w:type="paragraph" w:customStyle="1" w:styleId="Default">
    <w:name w:val="Default"/>
    <w:rsid w:val="00D0681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612">
      <w:bodyDiv w:val="1"/>
      <w:marLeft w:val="0"/>
      <w:marRight w:val="0"/>
      <w:marTop w:val="0"/>
      <w:marBottom w:val="0"/>
      <w:divBdr>
        <w:top w:val="none" w:sz="0" w:space="0" w:color="auto"/>
        <w:left w:val="none" w:sz="0" w:space="0" w:color="auto"/>
        <w:bottom w:val="none" w:sz="0" w:space="0" w:color="auto"/>
        <w:right w:val="none" w:sz="0" w:space="0" w:color="auto"/>
      </w:divBdr>
    </w:div>
    <w:div w:id="34931493">
      <w:bodyDiv w:val="1"/>
      <w:marLeft w:val="0"/>
      <w:marRight w:val="0"/>
      <w:marTop w:val="0"/>
      <w:marBottom w:val="0"/>
      <w:divBdr>
        <w:top w:val="none" w:sz="0" w:space="0" w:color="auto"/>
        <w:left w:val="none" w:sz="0" w:space="0" w:color="auto"/>
        <w:bottom w:val="none" w:sz="0" w:space="0" w:color="auto"/>
        <w:right w:val="none" w:sz="0" w:space="0" w:color="auto"/>
      </w:divBdr>
    </w:div>
    <w:div w:id="66342907">
      <w:bodyDiv w:val="1"/>
      <w:marLeft w:val="0"/>
      <w:marRight w:val="0"/>
      <w:marTop w:val="0"/>
      <w:marBottom w:val="0"/>
      <w:divBdr>
        <w:top w:val="none" w:sz="0" w:space="0" w:color="auto"/>
        <w:left w:val="none" w:sz="0" w:space="0" w:color="auto"/>
        <w:bottom w:val="none" w:sz="0" w:space="0" w:color="auto"/>
        <w:right w:val="none" w:sz="0" w:space="0" w:color="auto"/>
      </w:divBdr>
    </w:div>
    <w:div w:id="85852831">
      <w:bodyDiv w:val="1"/>
      <w:marLeft w:val="0"/>
      <w:marRight w:val="0"/>
      <w:marTop w:val="0"/>
      <w:marBottom w:val="0"/>
      <w:divBdr>
        <w:top w:val="none" w:sz="0" w:space="0" w:color="auto"/>
        <w:left w:val="none" w:sz="0" w:space="0" w:color="auto"/>
        <w:bottom w:val="none" w:sz="0" w:space="0" w:color="auto"/>
        <w:right w:val="none" w:sz="0" w:space="0" w:color="auto"/>
      </w:divBdr>
      <w:divsChild>
        <w:div w:id="2091268187">
          <w:marLeft w:val="547"/>
          <w:marRight w:val="0"/>
          <w:marTop w:val="62"/>
          <w:marBottom w:val="0"/>
          <w:divBdr>
            <w:top w:val="none" w:sz="0" w:space="0" w:color="auto"/>
            <w:left w:val="none" w:sz="0" w:space="0" w:color="auto"/>
            <w:bottom w:val="none" w:sz="0" w:space="0" w:color="auto"/>
            <w:right w:val="none" w:sz="0" w:space="0" w:color="auto"/>
          </w:divBdr>
        </w:div>
      </w:divsChild>
    </w:div>
    <w:div w:id="124931938">
      <w:bodyDiv w:val="1"/>
      <w:marLeft w:val="0"/>
      <w:marRight w:val="0"/>
      <w:marTop w:val="0"/>
      <w:marBottom w:val="0"/>
      <w:divBdr>
        <w:top w:val="none" w:sz="0" w:space="0" w:color="auto"/>
        <w:left w:val="none" w:sz="0" w:space="0" w:color="auto"/>
        <w:bottom w:val="none" w:sz="0" w:space="0" w:color="auto"/>
        <w:right w:val="none" w:sz="0" w:space="0" w:color="auto"/>
      </w:divBdr>
      <w:divsChild>
        <w:div w:id="2063630195">
          <w:marLeft w:val="547"/>
          <w:marRight w:val="0"/>
          <w:marTop w:val="62"/>
          <w:marBottom w:val="0"/>
          <w:divBdr>
            <w:top w:val="none" w:sz="0" w:space="0" w:color="auto"/>
            <w:left w:val="none" w:sz="0" w:space="0" w:color="auto"/>
            <w:bottom w:val="none" w:sz="0" w:space="0" w:color="auto"/>
            <w:right w:val="none" w:sz="0" w:space="0" w:color="auto"/>
          </w:divBdr>
        </w:div>
      </w:divsChild>
    </w:div>
    <w:div w:id="200671996">
      <w:bodyDiv w:val="1"/>
      <w:marLeft w:val="0"/>
      <w:marRight w:val="0"/>
      <w:marTop w:val="0"/>
      <w:marBottom w:val="0"/>
      <w:divBdr>
        <w:top w:val="none" w:sz="0" w:space="0" w:color="auto"/>
        <w:left w:val="none" w:sz="0" w:space="0" w:color="auto"/>
        <w:bottom w:val="none" w:sz="0" w:space="0" w:color="auto"/>
        <w:right w:val="none" w:sz="0" w:space="0" w:color="auto"/>
      </w:divBdr>
    </w:div>
    <w:div w:id="274752270">
      <w:bodyDiv w:val="1"/>
      <w:marLeft w:val="0"/>
      <w:marRight w:val="0"/>
      <w:marTop w:val="0"/>
      <w:marBottom w:val="0"/>
      <w:divBdr>
        <w:top w:val="none" w:sz="0" w:space="0" w:color="auto"/>
        <w:left w:val="none" w:sz="0" w:space="0" w:color="auto"/>
        <w:bottom w:val="none" w:sz="0" w:space="0" w:color="auto"/>
        <w:right w:val="none" w:sz="0" w:space="0" w:color="auto"/>
      </w:divBdr>
    </w:div>
    <w:div w:id="313921048">
      <w:bodyDiv w:val="1"/>
      <w:marLeft w:val="0"/>
      <w:marRight w:val="0"/>
      <w:marTop w:val="0"/>
      <w:marBottom w:val="0"/>
      <w:divBdr>
        <w:top w:val="none" w:sz="0" w:space="0" w:color="auto"/>
        <w:left w:val="none" w:sz="0" w:space="0" w:color="auto"/>
        <w:bottom w:val="none" w:sz="0" w:space="0" w:color="auto"/>
        <w:right w:val="none" w:sz="0" w:space="0" w:color="auto"/>
      </w:divBdr>
    </w:div>
    <w:div w:id="337539950">
      <w:bodyDiv w:val="1"/>
      <w:marLeft w:val="0"/>
      <w:marRight w:val="0"/>
      <w:marTop w:val="0"/>
      <w:marBottom w:val="0"/>
      <w:divBdr>
        <w:top w:val="none" w:sz="0" w:space="0" w:color="auto"/>
        <w:left w:val="none" w:sz="0" w:space="0" w:color="auto"/>
        <w:bottom w:val="none" w:sz="0" w:space="0" w:color="auto"/>
        <w:right w:val="none" w:sz="0" w:space="0" w:color="auto"/>
      </w:divBdr>
    </w:div>
    <w:div w:id="413476655">
      <w:bodyDiv w:val="1"/>
      <w:marLeft w:val="0"/>
      <w:marRight w:val="0"/>
      <w:marTop w:val="0"/>
      <w:marBottom w:val="0"/>
      <w:divBdr>
        <w:top w:val="none" w:sz="0" w:space="0" w:color="auto"/>
        <w:left w:val="none" w:sz="0" w:space="0" w:color="auto"/>
        <w:bottom w:val="none" w:sz="0" w:space="0" w:color="auto"/>
        <w:right w:val="none" w:sz="0" w:space="0" w:color="auto"/>
      </w:divBdr>
    </w:div>
    <w:div w:id="435290978">
      <w:bodyDiv w:val="1"/>
      <w:marLeft w:val="0"/>
      <w:marRight w:val="0"/>
      <w:marTop w:val="0"/>
      <w:marBottom w:val="0"/>
      <w:divBdr>
        <w:top w:val="none" w:sz="0" w:space="0" w:color="auto"/>
        <w:left w:val="none" w:sz="0" w:space="0" w:color="auto"/>
        <w:bottom w:val="none" w:sz="0" w:space="0" w:color="auto"/>
        <w:right w:val="none" w:sz="0" w:space="0" w:color="auto"/>
      </w:divBdr>
    </w:div>
    <w:div w:id="483350604">
      <w:bodyDiv w:val="1"/>
      <w:marLeft w:val="0"/>
      <w:marRight w:val="0"/>
      <w:marTop w:val="0"/>
      <w:marBottom w:val="0"/>
      <w:divBdr>
        <w:top w:val="none" w:sz="0" w:space="0" w:color="auto"/>
        <w:left w:val="none" w:sz="0" w:space="0" w:color="auto"/>
        <w:bottom w:val="none" w:sz="0" w:space="0" w:color="auto"/>
        <w:right w:val="none" w:sz="0" w:space="0" w:color="auto"/>
      </w:divBdr>
    </w:div>
    <w:div w:id="486823063">
      <w:bodyDiv w:val="1"/>
      <w:marLeft w:val="0"/>
      <w:marRight w:val="0"/>
      <w:marTop w:val="0"/>
      <w:marBottom w:val="0"/>
      <w:divBdr>
        <w:top w:val="none" w:sz="0" w:space="0" w:color="auto"/>
        <w:left w:val="none" w:sz="0" w:space="0" w:color="auto"/>
        <w:bottom w:val="none" w:sz="0" w:space="0" w:color="auto"/>
        <w:right w:val="none" w:sz="0" w:space="0" w:color="auto"/>
      </w:divBdr>
    </w:div>
    <w:div w:id="547035221">
      <w:bodyDiv w:val="1"/>
      <w:marLeft w:val="0"/>
      <w:marRight w:val="0"/>
      <w:marTop w:val="0"/>
      <w:marBottom w:val="0"/>
      <w:divBdr>
        <w:top w:val="none" w:sz="0" w:space="0" w:color="auto"/>
        <w:left w:val="none" w:sz="0" w:space="0" w:color="auto"/>
        <w:bottom w:val="none" w:sz="0" w:space="0" w:color="auto"/>
        <w:right w:val="none" w:sz="0" w:space="0" w:color="auto"/>
      </w:divBdr>
    </w:div>
    <w:div w:id="702290071">
      <w:bodyDiv w:val="1"/>
      <w:marLeft w:val="0"/>
      <w:marRight w:val="0"/>
      <w:marTop w:val="0"/>
      <w:marBottom w:val="0"/>
      <w:divBdr>
        <w:top w:val="none" w:sz="0" w:space="0" w:color="auto"/>
        <w:left w:val="none" w:sz="0" w:space="0" w:color="auto"/>
        <w:bottom w:val="none" w:sz="0" w:space="0" w:color="auto"/>
        <w:right w:val="none" w:sz="0" w:space="0" w:color="auto"/>
      </w:divBdr>
    </w:div>
    <w:div w:id="755128039">
      <w:bodyDiv w:val="1"/>
      <w:marLeft w:val="0"/>
      <w:marRight w:val="0"/>
      <w:marTop w:val="0"/>
      <w:marBottom w:val="0"/>
      <w:divBdr>
        <w:top w:val="none" w:sz="0" w:space="0" w:color="auto"/>
        <w:left w:val="none" w:sz="0" w:space="0" w:color="auto"/>
        <w:bottom w:val="none" w:sz="0" w:space="0" w:color="auto"/>
        <w:right w:val="none" w:sz="0" w:space="0" w:color="auto"/>
      </w:divBdr>
    </w:div>
    <w:div w:id="799761370">
      <w:bodyDiv w:val="1"/>
      <w:marLeft w:val="0"/>
      <w:marRight w:val="0"/>
      <w:marTop w:val="0"/>
      <w:marBottom w:val="0"/>
      <w:divBdr>
        <w:top w:val="none" w:sz="0" w:space="0" w:color="auto"/>
        <w:left w:val="none" w:sz="0" w:space="0" w:color="auto"/>
        <w:bottom w:val="none" w:sz="0" w:space="0" w:color="auto"/>
        <w:right w:val="none" w:sz="0" w:space="0" w:color="auto"/>
      </w:divBdr>
    </w:div>
    <w:div w:id="871116762">
      <w:bodyDiv w:val="1"/>
      <w:marLeft w:val="0"/>
      <w:marRight w:val="0"/>
      <w:marTop w:val="0"/>
      <w:marBottom w:val="0"/>
      <w:divBdr>
        <w:top w:val="none" w:sz="0" w:space="0" w:color="auto"/>
        <w:left w:val="none" w:sz="0" w:space="0" w:color="auto"/>
        <w:bottom w:val="none" w:sz="0" w:space="0" w:color="auto"/>
        <w:right w:val="none" w:sz="0" w:space="0" w:color="auto"/>
      </w:divBdr>
    </w:div>
    <w:div w:id="1166365305">
      <w:bodyDiv w:val="1"/>
      <w:marLeft w:val="0"/>
      <w:marRight w:val="0"/>
      <w:marTop w:val="0"/>
      <w:marBottom w:val="0"/>
      <w:divBdr>
        <w:top w:val="none" w:sz="0" w:space="0" w:color="auto"/>
        <w:left w:val="none" w:sz="0" w:space="0" w:color="auto"/>
        <w:bottom w:val="none" w:sz="0" w:space="0" w:color="auto"/>
        <w:right w:val="none" w:sz="0" w:space="0" w:color="auto"/>
      </w:divBdr>
    </w:div>
    <w:div w:id="1292902473">
      <w:bodyDiv w:val="1"/>
      <w:marLeft w:val="0"/>
      <w:marRight w:val="0"/>
      <w:marTop w:val="0"/>
      <w:marBottom w:val="0"/>
      <w:divBdr>
        <w:top w:val="none" w:sz="0" w:space="0" w:color="auto"/>
        <w:left w:val="none" w:sz="0" w:space="0" w:color="auto"/>
        <w:bottom w:val="none" w:sz="0" w:space="0" w:color="auto"/>
        <w:right w:val="none" w:sz="0" w:space="0" w:color="auto"/>
      </w:divBdr>
    </w:div>
    <w:div w:id="1333947318">
      <w:bodyDiv w:val="1"/>
      <w:marLeft w:val="0"/>
      <w:marRight w:val="0"/>
      <w:marTop w:val="0"/>
      <w:marBottom w:val="0"/>
      <w:divBdr>
        <w:top w:val="none" w:sz="0" w:space="0" w:color="auto"/>
        <w:left w:val="none" w:sz="0" w:space="0" w:color="auto"/>
        <w:bottom w:val="none" w:sz="0" w:space="0" w:color="auto"/>
        <w:right w:val="none" w:sz="0" w:space="0" w:color="auto"/>
      </w:divBdr>
    </w:div>
    <w:div w:id="1410809562">
      <w:bodyDiv w:val="1"/>
      <w:marLeft w:val="0"/>
      <w:marRight w:val="0"/>
      <w:marTop w:val="0"/>
      <w:marBottom w:val="0"/>
      <w:divBdr>
        <w:top w:val="none" w:sz="0" w:space="0" w:color="auto"/>
        <w:left w:val="none" w:sz="0" w:space="0" w:color="auto"/>
        <w:bottom w:val="none" w:sz="0" w:space="0" w:color="auto"/>
        <w:right w:val="none" w:sz="0" w:space="0" w:color="auto"/>
      </w:divBdr>
    </w:div>
    <w:div w:id="1466703676">
      <w:bodyDiv w:val="1"/>
      <w:marLeft w:val="0"/>
      <w:marRight w:val="0"/>
      <w:marTop w:val="0"/>
      <w:marBottom w:val="0"/>
      <w:divBdr>
        <w:top w:val="none" w:sz="0" w:space="0" w:color="auto"/>
        <w:left w:val="none" w:sz="0" w:space="0" w:color="auto"/>
        <w:bottom w:val="none" w:sz="0" w:space="0" w:color="auto"/>
        <w:right w:val="none" w:sz="0" w:space="0" w:color="auto"/>
      </w:divBdr>
    </w:div>
    <w:div w:id="1490903784">
      <w:bodyDiv w:val="1"/>
      <w:marLeft w:val="0"/>
      <w:marRight w:val="0"/>
      <w:marTop w:val="0"/>
      <w:marBottom w:val="0"/>
      <w:divBdr>
        <w:top w:val="none" w:sz="0" w:space="0" w:color="auto"/>
        <w:left w:val="none" w:sz="0" w:space="0" w:color="auto"/>
        <w:bottom w:val="none" w:sz="0" w:space="0" w:color="auto"/>
        <w:right w:val="none" w:sz="0" w:space="0" w:color="auto"/>
      </w:divBdr>
    </w:div>
    <w:div w:id="1505127636">
      <w:bodyDiv w:val="1"/>
      <w:marLeft w:val="0"/>
      <w:marRight w:val="0"/>
      <w:marTop w:val="0"/>
      <w:marBottom w:val="0"/>
      <w:divBdr>
        <w:top w:val="none" w:sz="0" w:space="0" w:color="auto"/>
        <w:left w:val="none" w:sz="0" w:space="0" w:color="auto"/>
        <w:bottom w:val="none" w:sz="0" w:space="0" w:color="auto"/>
        <w:right w:val="none" w:sz="0" w:space="0" w:color="auto"/>
      </w:divBdr>
    </w:div>
    <w:div w:id="1577200358">
      <w:bodyDiv w:val="1"/>
      <w:marLeft w:val="0"/>
      <w:marRight w:val="0"/>
      <w:marTop w:val="0"/>
      <w:marBottom w:val="0"/>
      <w:divBdr>
        <w:top w:val="none" w:sz="0" w:space="0" w:color="auto"/>
        <w:left w:val="none" w:sz="0" w:space="0" w:color="auto"/>
        <w:bottom w:val="none" w:sz="0" w:space="0" w:color="auto"/>
        <w:right w:val="none" w:sz="0" w:space="0" w:color="auto"/>
      </w:divBdr>
    </w:div>
    <w:div w:id="1705518067">
      <w:bodyDiv w:val="1"/>
      <w:marLeft w:val="0"/>
      <w:marRight w:val="0"/>
      <w:marTop w:val="0"/>
      <w:marBottom w:val="0"/>
      <w:divBdr>
        <w:top w:val="none" w:sz="0" w:space="0" w:color="auto"/>
        <w:left w:val="none" w:sz="0" w:space="0" w:color="auto"/>
        <w:bottom w:val="none" w:sz="0" w:space="0" w:color="auto"/>
        <w:right w:val="none" w:sz="0" w:space="0" w:color="auto"/>
      </w:divBdr>
    </w:div>
    <w:div w:id="1801917340">
      <w:bodyDiv w:val="1"/>
      <w:marLeft w:val="0"/>
      <w:marRight w:val="0"/>
      <w:marTop w:val="0"/>
      <w:marBottom w:val="0"/>
      <w:divBdr>
        <w:top w:val="none" w:sz="0" w:space="0" w:color="auto"/>
        <w:left w:val="none" w:sz="0" w:space="0" w:color="auto"/>
        <w:bottom w:val="none" w:sz="0" w:space="0" w:color="auto"/>
        <w:right w:val="none" w:sz="0" w:space="0" w:color="auto"/>
      </w:divBdr>
    </w:div>
    <w:div w:id="19907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457B-B743-4E15-9D5B-2CB3BE1E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2412</Words>
  <Characters>12786</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15168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Ann-Christin Sarden</dc:creator>
  <cp:lastModifiedBy>Maria Bäckström</cp:lastModifiedBy>
  <cp:revision>28</cp:revision>
  <cp:lastPrinted>2014-05-14T07:08:00Z</cp:lastPrinted>
  <dcterms:created xsi:type="dcterms:W3CDTF">2014-05-07T15:37:00Z</dcterms:created>
  <dcterms:modified xsi:type="dcterms:W3CDTF">2014-05-20T14:05:00Z</dcterms:modified>
</cp:coreProperties>
</file>